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68" w:rsidRPr="00575168" w:rsidRDefault="00BB6596" w:rsidP="00B63039">
      <w:pPr>
        <w:pStyle w:val="Heading1"/>
      </w:pPr>
      <w:r>
        <w:t xml:space="preserve">Nursing Hours per Patient Day: </w:t>
      </w:r>
      <w:r w:rsidR="00575168" w:rsidRPr="00575168">
        <w:t>how is it used?</w:t>
      </w:r>
    </w:p>
    <w:p w:rsidR="00575168" w:rsidRPr="00575168" w:rsidRDefault="00575168" w:rsidP="007C7975">
      <w:pPr>
        <w:pStyle w:val="Heading2"/>
      </w:pPr>
      <w:r w:rsidRPr="00575168">
        <w:t>What is NHPPD?</w:t>
      </w:r>
    </w:p>
    <w:p w:rsidR="00575168" w:rsidRDefault="00575168" w:rsidP="007C7975">
      <w:r>
        <w:t>Nursing Hours per Patient Day (NHPPD) is the workload monitoring system used throughout the WA public health system since its introduction in 2002.</w:t>
      </w:r>
    </w:p>
    <w:p w:rsidR="00BB6596" w:rsidRDefault="00575168" w:rsidP="007C7975">
      <w:r>
        <w:t>The NHPPD model</w:t>
      </w:r>
      <w:r w:rsidR="00BB6596">
        <w:t>:</w:t>
      </w:r>
    </w:p>
    <w:p w:rsidR="00575168" w:rsidRDefault="00BB6596" w:rsidP="00BB6596">
      <w:pPr>
        <w:pStyle w:val="ListParagraph"/>
        <w:numPr>
          <w:ilvl w:val="0"/>
          <w:numId w:val="22"/>
        </w:numPr>
      </w:pPr>
      <w:r>
        <w:t>Ensures</w:t>
      </w:r>
      <w:r w:rsidR="00575168">
        <w:t xml:space="preserve"> flexibility in the supply of nursing and/or midwifery hours to meet the variable demands of patient care, with the recommendation of minimum safe staffing levels. </w:t>
      </w:r>
    </w:p>
    <w:p w:rsidR="00575168" w:rsidRDefault="00BB6596" w:rsidP="00BB6596">
      <w:pPr>
        <w:pStyle w:val="ListParagraph"/>
        <w:numPr>
          <w:ilvl w:val="0"/>
          <w:numId w:val="22"/>
        </w:numPr>
      </w:pPr>
      <w:r>
        <w:t>Is</w:t>
      </w:r>
      <w:r w:rsidR="00575168">
        <w:t xml:space="preserve"> used in the inpatient setting (wards), including haemodialysis, short stay, day surgery settings.</w:t>
      </w:r>
    </w:p>
    <w:p w:rsidR="00575168" w:rsidRDefault="00BB6596" w:rsidP="00BB6596">
      <w:pPr>
        <w:pStyle w:val="ListParagraph"/>
        <w:numPr>
          <w:ilvl w:val="0"/>
          <w:numId w:val="22"/>
        </w:numPr>
      </w:pPr>
      <w:r>
        <w:t>Measures</w:t>
      </w:r>
      <w:r w:rsidR="00575168">
        <w:t xml:space="preserve"> and reports on the direct clinical care hours required and provided by nurses and midwives.</w:t>
      </w:r>
    </w:p>
    <w:p w:rsidR="00575168" w:rsidRDefault="00BB6596" w:rsidP="00BB6596">
      <w:pPr>
        <w:pStyle w:val="ListParagraph"/>
        <w:numPr>
          <w:ilvl w:val="0"/>
          <w:numId w:val="22"/>
        </w:numPr>
      </w:pPr>
      <w:r>
        <w:t>Excludes</w:t>
      </w:r>
      <w:r w:rsidR="00575168">
        <w:t xml:space="preserve"> non-clinical hours including education, research, clinical audit or direct clinical care hours provided by senior registered nurse/midwife for example Nurse Practitioners, Clinical Nurse Consultants (SRN/M 3-10).</w:t>
      </w:r>
    </w:p>
    <w:p w:rsidR="00575168" w:rsidRDefault="00575168" w:rsidP="007C7975">
      <w:r>
        <w:t>The tool can also be used for:</w:t>
      </w:r>
    </w:p>
    <w:p w:rsidR="00575168" w:rsidRDefault="00575168" w:rsidP="007C7975">
      <w:pPr>
        <w:pStyle w:val="ListParagraph"/>
        <w:numPr>
          <w:ilvl w:val="0"/>
          <w:numId w:val="19"/>
        </w:numPr>
      </w:pPr>
      <w:r>
        <w:t>Predictive roster and shift planning</w:t>
      </w:r>
    </w:p>
    <w:p w:rsidR="00575168" w:rsidRDefault="00575168" w:rsidP="007C7975">
      <w:pPr>
        <w:pStyle w:val="ListParagraph"/>
        <w:numPr>
          <w:ilvl w:val="0"/>
          <w:numId w:val="19"/>
        </w:numPr>
      </w:pPr>
      <w:r>
        <w:t>Bottom up roster building for new or reconfigured services</w:t>
      </w:r>
    </w:p>
    <w:p w:rsidR="00575168" w:rsidRDefault="00575168" w:rsidP="007C7975">
      <w:pPr>
        <w:pStyle w:val="ListParagraph"/>
        <w:numPr>
          <w:ilvl w:val="0"/>
          <w:numId w:val="19"/>
        </w:numPr>
      </w:pPr>
      <w:r>
        <w:t>Tracking and reporting on variance across a roster period to help provide better roster management.</w:t>
      </w:r>
    </w:p>
    <w:p w:rsidR="00B63039" w:rsidRDefault="00B63039" w:rsidP="007C7975">
      <w:pPr>
        <w:pStyle w:val="Heading2"/>
      </w:pPr>
      <w:r w:rsidRPr="00B63039">
        <w:t>What other information is important to consider in delivering safe nursing and midwifery care?</w:t>
      </w:r>
    </w:p>
    <w:p w:rsidR="00575168" w:rsidRPr="00575168" w:rsidRDefault="00575168" w:rsidP="007C7975">
      <w:r w:rsidRPr="00575168">
        <w:t>Along with the NHPPD, the following should be considered in managing safe, effective care:</w:t>
      </w:r>
    </w:p>
    <w:p w:rsidR="00575168" w:rsidRPr="00575168" w:rsidRDefault="00575168" w:rsidP="007C7975">
      <w:pPr>
        <w:pStyle w:val="ListParagraph"/>
        <w:numPr>
          <w:ilvl w:val="0"/>
          <w:numId w:val="18"/>
        </w:numPr>
      </w:pPr>
      <w:r w:rsidRPr="00575168">
        <w:t>Demands on nurse/midwife time that may be considered indirect hours, administrative or non-nurse/midwife functions which impact or distract from providing patient care</w:t>
      </w:r>
    </w:p>
    <w:p w:rsidR="00575168" w:rsidRPr="00575168" w:rsidRDefault="00575168" w:rsidP="007C7975">
      <w:pPr>
        <w:pStyle w:val="ListParagraph"/>
        <w:numPr>
          <w:ilvl w:val="0"/>
          <w:numId w:val="18"/>
        </w:numPr>
      </w:pPr>
      <w:r w:rsidRPr="00575168">
        <w:t>Inefficient systems and processes which impact or distract from providing direct patient care</w:t>
      </w:r>
    </w:p>
    <w:p w:rsidR="00575168" w:rsidRPr="00575168" w:rsidRDefault="00575168" w:rsidP="007C7975">
      <w:pPr>
        <w:pStyle w:val="ListParagraph"/>
        <w:numPr>
          <w:ilvl w:val="0"/>
          <w:numId w:val="18"/>
        </w:numPr>
      </w:pPr>
      <w:r w:rsidRPr="00575168">
        <w:t>Effective utilisation of available resources, expertise, knowledge and skill</w:t>
      </w:r>
    </w:p>
    <w:p w:rsidR="00575168" w:rsidRPr="00575168" w:rsidRDefault="00575168" w:rsidP="007C7975">
      <w:pPr>
        <w:pStyle w:val="ListParagraph"/>
        <w:numPr>
          <w:ilvl w:val="0"/>
          <w:numId w:val="18"/>
        </w:numPr>
      </w:pPr>
      <w:r w:rsidRPr="00575168">
        <w:t>Skill mix of the roster</w:t>
      </w:r>
    </w:p>
    <w:p w:rsidR="00575168" w:rsidRPr="00575168" w:rsidRDefault="00575168" w:rsidP="007C7975">
      <w:pPr>
        <w:pStyle w:val="ListParagraph"/>
        <w:numPr>
          <w:ilvl w:val="0"/>
          <w:numId w:val="18"/>
        </w:numPr>
      </w:pPr>
      <w:r w:rsidRPr="00575168">
        <w:t>Monitoring of patient outcomes and nurse sensitive outcomes</w:t>
      </w:r>
    </w:p>
    <w:p w:rsidR="00575168" w:rsidRPr="00575168" w:rsidRDefault="00575168" w:rsidP="007C7975">
      <w:pPr>
        <w:pStyle w:val="ListParagraph"/>
        <w:numPr>
          <w:ilvl w:val="0"/>
          <w:numId w:val="18"/>
        </w:numPr>
      </w:pPr>
      <w:r w:rsidRPr="00575168">
        <w:t>The practice environment for nurses/midwives, staff experience and engagement (with tools to monitor)</w:t>
      </w:r>
    </w:p>
    <w:p w:rsidR="00575168" w:rsidRDefault="00575168" w:rsidP="007C7975">
      <w:pPr>
        <w:pStyle w:val="ListParagraph"/>
        <w:numPr>
          <w:ilvl w:val="0"/>
          <w:numId w:val="18"/>
        </w:numPr>
      </w:pPr>
      <w:r w:rsidRPr="00575168">
        <w:t>The patient experience (with tools to monitor).</w:t>
      </w:r>
    </w:p>
    <w:p w:rsidR="007C7975" w:rsidRPr="00575168" w:rsidRDefault="007C7975" w:rsidP="007C7975"/>
    <w:p w:rsidR="00B63039" w:rsidRDefault="00B63039" w:rsidP="007C7975">
      <w:pPr>
        <w:pStyle w:val="Heading2"/>
      </w:pPr>
      <w:r w:rsidRPr="00B63039">
        <w:lastRenderedPageBreak/>
        <w:t>How are categories determined?</w:t>
      </w:r>
    </w:p>
    <w:p w:rsidR="00B63039" w:rsidRDefault="008D4DE0" w:rsidP="00B63039">
      <w:r w:rsidRPr="008D4DE0">
        <w:rPr>
          <w:rFonts w:eastAsiaTheme="minorHAnsi" w:cs="Arial"/>
          <w:color w:val="333333"/>
          <w:szCs w:val="24"/>
          <w:lang w:val="en"/>
        </w:rPr>
        <w:t xml:space="preserve">Section 9, Schedule A and Schedule B of the </w:t>
      </w:r>
      <w:hyperlink r:id="rId9" w:history="1">
        <w:r w:rsidRPr="008D4DE0">
          <w:rPr>
            <w:rFonts w:eastAsiaTheme="minorHAnsi" w:cs="Arial"/>
            <w:color w:val="0000FF" w:themeColor="hyperlink"/>
            <w:szCs w:val="24"/>
            <w:u w:val="single"/>
            <w:lang w:val="en"/>
          </w:rPr>
          <w:t>WA Health System – Australian Nursing Federation - Registered Nurses, Midwives, Enrolled (Mental Health) and Enrolled (</w:t>
        </w:r>
        <w:proofErr w:type="spellStart"/>
        <w:r w:rsidRPr="008D4DE0">
          <w:rPr>
            <w:rFonts w:eastAsiaTheme="minorHAnsi" w:cs="Arial"/>
            <w:color w:val="0000FF" w:themeColor="hyperlink"/>
            <w:szCs w:val="24"/>
            <w:u w:val="single"/>
            <w:lang w:val="en"/>
          </w:rPr>
          <w:t>Mothercraft</w:t>
        </w:r>
        <w:proofErr w:type="spellEnd"/>
        <w:r w:rsidRPr="008D4DE0">
          <w:rPr>
            <w:rFonts w:eastAsiaTheme="minorHAnsi" w:cs="Arial"/>
            <w:color w:val="0000FF" w:themeColor="hyperlink"/>
            <w:szCs w:val="24"/>
            <w:u w:val="single"/>
            <w:lang w:val="en"/>
          </w:rPr>
          <w:t>) Nurses – Industrial Agreement 2016 (PDF 1.17MB)</w:t>
        </w:r>
      </w:hyperlink>
      <w:r w:rsidR="00B63039" w:rsidRPr="00B63039">
        <w:t xml:space="preserve"> stipulates the NHPPD Guiding Principles in determining a ward or department’s category. The category is based on criteria fo</w:t>
      </w:r>
      <w:bookmarkStart w:id="0" w:name="_GoBack"/>
      <w:bookmarkEnd w:id="0"/>
      <w:r w:rsidR="00B63039" w:rsidRPr="00B63039">
        <w:t>r measuring diversity, complexity and nursing tasks required.</w:t>
      </w:r>
    </w:p>
    <w:p w:rsidR="007C7975" w:rsidRPr="00B63039" w:rsidRDefault="007C7975" w:rsidP="007C7975">
      <w:pPr>
        <w:pStyle w:val="Heading3"/>
      </w:pPr>
      <w:r w:rsidRPr="00B63039">
        <w:t>NHPPD Guiding Principles</w:t>
      </w:r>
    </w:p>
    <w:tbl>
      <w:tblPr>
        <w:tblStyle w:val="TableGrid1"/>
        <w:tblW w:w="0" w:type="auto"/>
        <w:jc w:val="center"/>
        <w:tblLook w:val="04A0" w:firstRow="1" w:lastRow="0" w:firstColumn="1" w:lastColumn="0" w:noHBand="0" w:noVBand="1"/>
      </w:tblPr>
      <w:tblGrid>
        <w:gridCol w:w="1809"/>
        <w:gridCol w:w="1418"/>
        <w:gridCol w:w="6015"/>
      </w:tblGrid>
      <w:tr w:rsidR="007C7975" w:rsidRPr="007C7975" w:rsidTr="003E2678">
        <w:trPr>
          <w:jc w:val="center"/>
        </w:trPr>
        <w:tc>
          <w:tcPr>
            <w:tcW w:w="1809" w:type="dxa"/>
          </w:tcPr>
          <w:p w:rsidR="007C7975" w:rsidRPr="00BB6596" w:rsidRDefault="007C7975" w:rsidP="00BB6596">
            <w:pPr>
              <w:spacing w:after="0"/>
              <w:rPr>
                <w:rFonts w:eastAsiaTheme="majorEastAsia"/>
                <w:b/>
                <w:szCs w:val="24"/>
                <w:lang w:eastAsia="en-AU"/>
              </w:rPr>
            </w:pPr>
            <w:r w:rsidRPr="00BB6596">
              <w:rPr>
                <w:rFonts w:eastAsiaTheme="majorEastAsia"/>
                <w:b/>
                <w:szCs w:val="24"/>
                <w:lang w:eastAsia="en-AU"/>
              </w:rPr>
              <w:t>Ward Category</w:t>
            </w:r>
          </w:p>
        </w:tc>
        <w:tc>
          <w:tcPr>
            <w:tcW w:w="1418" w:type="dxa"/>
          </w:tcPr>
          <w:p w:rsidR="007C7975" w:rsidRPr="00BB6596" w:rsidRDefault="007C7975" w:rsidP="00BB6596">
            <w:pPr>
              <w:spacing w:after="0"/>
              <w:rPr>
                <w:rFonts w:eastAsiaTheme="majorEastAsia"/>
                <w:b/>
                <w:szCs w:val="24"/>
                <w:lang w:eastAsia="en-AU"/>
              </w:rPr>
            </w:pPr>
            <w:r w:rsidRPr="00BB6596">
              <w:rPr>
                <w:rFonts w:eastAsiaTheme="majorEastAsia"/>
                <w:b/>
                <w:szCs w:val="24"/>
                <w:lang w:eastAsia="en-AU"/>
              </w:rPr>
              <w:t>NHPPD</w:t>
            </w:r>
          </w:p>
        </w:tc>
        <w:tc>
          <w:tcPr>
            <w:tcW w:w="6015" w:type="dxa"/>
          </w:tcPr>
          <w:p w:rsidR="007C7975" w:rsidRPr="00BB6596" w:rsidRDefault="007C7975" w:rsidP="00BB6596">
            <w:pPr>
              <w:spacing w:after="0"/>
              <w:rPr>
                <w:rFonts w:eastAsiaTheme="majorEastAsia"/>
                <w:b/>
                <w:szCs w:val="24"/>
                <w:lang w:eastAsia="en-AU"/>
              </w:rPr>
            </w:pPr>
            <w:r w:rsidRPr="00BB6596">
              <w:rPr>
                <w:rFonts w:eastAsiaTheme="majorEastAsia"/>
                <w:b/>
                <w:szCs w:val="24"/>
                <w:lang w:eastAsia="en-AU"/>
              </w:rPr>
              <w:t>Examples of criteria for measuring diversity and complexity of patient care</w:t>
            </w:r>
          </w:p>
        </w:tc>
      </w:tr>
      <w:tr w:rsidR="007C7975" w:rsidRPr="007C7975" w:rsidTr="003E2678">
        <w:trPr>
          <w:jc w:val="center"/>
        </w:trPr>
        <w:tc>
          <w:tcPr>
            <w:tcW w:w="1809" w:type="dxa"/>
          </w:tcPr>
          <w:p w:rsidR="007C7975" w:rsidRPr="00BB6596" w:rsidRDefault="007C7975" w:rsidP="00BB6596">
            <w:pPr>
              <w:spacing w:after="0"/>
              <w:rPr>
                <w:szCs w:val="24"/>
                <w:lang w:eastAsia="en-AU"/>
              </w:rPr>
            </w:pPr>
            <w:r w:rsidRPr="00BB6596">
              <w:rPr>
                <w:szCs w:val="24"/>
                <w:lang w:eastAsia="en-AU"/>
              </w:rPr>
              <w:t>A</w:t>
            </w:r>
          </w:p>
        </w:tc>
        <w:tc>
          <w:tcPr>
            <w:tcW w:w="1418" w:type="dxa"/>
          </w:tcPr>
          <w:p w:rsidR="007C7975" w:rsidRPr="00BB6596" w:rsidRDefault="007C7975" w:rsidP="00BB6596">
            <w:pPr>
              <w:spacing w:after="0"/>
              <w:rPr>
                <w:szCs w:val="24"/>
                <w:lang w:eastAsia="en-AU"/>
              </w:rPr>
            </w:pPr>
            <w:r w:rsidRPr="00BB6596">
              <w:rPr>
                <w:szCs w:val="24"/>
                <w:lang w:eastAsia="en-AU"/>
              </w:rPr>
              <w:t>7.5</w:t>
            </w:r>
          </w:p>
        </w:tc>
        <w:tc>
          <w:tcPr>
            <w:tcW w:w="6015" w:type="dxa"/>
          </w:tcPr>
          <w:p w:rsidR="007C7975" w:rsidRPr="00BB6596" w:rsidRDefault="007C7975" w:rsidP="00BB6596">
            <w:pPr>
              <w:spacing w:after="0"/>
              <w:rPr>
                <w:szCs w:val="24"/>
                <w:lang w:eastAsia="en-AU"/>
              </w:rPr>
            </w:pPr>
            <w:r w:rsidRPr="00BB6596">
              <w:rPr>
                <w:szCs w:val="24"/>
                <w:lang w:eastAsia="en-AU"/>
              </w:rPr>
              <w:t>High Complexity</w:t>
            </w:r>
          </w:p>
          <w:p w:rsidR="007C7975" w:rsidRPr="00BB6596" w:rsidRDefault="007C7975" w:rsidP="00BB6596">
            <w:pPr>
              <w:spacing w:after="0"/>
              <w:rPr>
                <w:szCs w:val="24"/>
                <w:lang w:eastAsia="en-AU"/>
              </w:rPr>
            </w:pPr>
            <w:r w:rsidRPr="00BB6596">
              <w:rPr>
                <w:szCs w:val="24"/>
                <w:lang w:eastAsia="en-AU"/>
              </w:rPr>
              <w:t>High Dependency Unit @ 6 beds within a ward</w:t>
            </w:r>
          </w:p>
          <w:p w:rsidR="007C7975" w:rsidRPr="00BB6596" w:rsidRDefault="007C7975" w:rsidP="00BB6596">
            <w:pPr>
              <w:spacing w:after="0"/>
              <w:rPr>
                <w:szCs w:val="24"/>
                <w:lang w:eastAsia="en-AU"/>
              </w:rPr>
            </w:pPr>
            <w:r w:rsidRPr="00BB6596">
              <w:rPr>
                <w:szCs w:val="24"/>
                <w:lang w:eastAsia="en-AU"/>
              </w:rPr>
              <w:t>Tertiary Step Down ICU</w:t>
            </w:r>
          </w:p>
          <w:p w:rsidR="007C7975" w:rsidRPr="00BB6596" w:rsidRDefault="007C7975" w:rsidP="00BB6596">
            <w:pPr>
              <w:spacing w:after="0"/>
              <w:rPr>
                <w:szCs w:val="24"/>
                <w:lang w:eastAsia="en-AU"/>
              </w:rPr>
            </w:pPr>
            <w:r w:rsidRPr="00BB6596">
              <w:rPr>
                <w:szCs w:val="24"/>
                <w:lang w:eastAsia="en-AU"/>
              </w:rPr>
              <w:t>High Intervention Level</w:t>
            </w:r>
          </w:p>
          <w:p w:rsidR="007C7975" w:rsidRPr="00BB6596" w:rsidRDefault="007C7975" w:rsidP="00BB6596">
            <w:pPr>
              <w:spacing w:after="0"/>
              <w:rPr>
                <w:szCs w:val="24"/>
                <w:lang w:eastAsia="en-AU"/>
              </w:rPr>
            </w:pPr>
            <w:r w:rsidRPr="00BB6596">
              <w:rPr>
                <w:szCs w:val="24"/>
                <w:lang w:eastAsia="en-AU"/>
              </w:rPr>
              <w:t>Mental health – high risk of self-harm</w:t>
            </w:r>
          </w:p>
        </w:tc>
      </w:tr>
      <w:tr w:rsidR="007C7975" w:rsidRPr="007C7975" w:rsidTr="003E2678">
        <w:trPr>
          <w:jc w:val="center"/>
        </w:trPr>
        <w:tc>
          <w:tcPr>
            <w:tcW w:w="1809" w:type="dxa"/>
          </w:tcPr>
          <w:p w:rsidR="007C7975" w:rsidRPr="00BB6596" w:rsidRDefault="007C7975" w:rsidP="00BB6596">
            <w:pPr>
              <w:spacing w:after="0"/>
              <w:rPr>
                <w:szCs w:val="24"/>
                <w:lang w:eastAsia="en-AU"/>
              </w:rPr>
            </w:pPr>
            <w:r w:rsidRPr="00BB6596">
              <w:rPr>
                <w:szCs w:val="24"/>
                <w:lang w:eastAsia="en-AU"/>
              </w:rPr>
              <w:t>B</w:t>
            </w:r>
          </w:p>
        </w:tc>
        <w:tc>
          <w:tcPr>
            <w:tcW w:w="1418" w:type="dxa"/>
          </w:tcPr>
          <w:p w:rsidR="007C7975" w:rsidRPr="00BB6596" w:rsidRDefault="007C7975" w:rsidP="00BB6596">
            <w:pPr>
              <w:spacing w:after="0"/>
              <w:rPr>
                <w:szCs w:val="24"/>
                <w:lang w:eastAsia="en-AU"/>
              </w:rPr>
            </w:pPr>
            <w:r w:rsidRPr="00BB6596">
              <w:rPr>
                <w:szCs w:val="24"/>
                <w:lang w:eastAsia="en-AU"/>
              </w:rPr>
              <w:t>6.0</w:t>
            </w:r>
          </w:p>
        </w:tc>
        <w:tc>
          <w:tcPr>
            <w:tcW w:w="6015" w:type="dxa"/>
          </w:tcPr>
          <w:p w:rsidR="007C7975" w:rsidRPr="00BB6596" w:rsidRDefault="007C7975" w:rsidP="00BB6596">
            <w:pPr>
              <w:spacing w:after="0"/>
              <w:rPr>
                <w:szCs w:val="24"/>
                <w:lang w:eastAsia="en-AU"/>
              </w:rPr>
            </w:pPr>
            <w:r w:rsidRPr="00BB6596">
              <w:rPr>
                <w:szCs w:val="24"/>
                <w:lang w:eastAsia="en-AU"/>
              </w:rPr>
              <w:t>High Complexity</w:t>
            </w:r>
          </w:p>
          <w:p w:rsidR="007C7975" w:rsidRPr="00BB6596" w:rsidRDefault="007C7975" w:rsidP="00BB6596">
            <w:pPr>
              <w:spacing w:after="0"/>
              <w:rPr>
                <w:szCs w:val="24"/>
                <w:lang w:eastAsia="en-AU"/>
              </w:rPr>
            </w:pPr>
            <w:r w:rsidRPr="00BB6596">
              <w:rPr>
                <w:szCs w:val="24"/>
                <w:lang w:eastAsia="en-AU"/>
              </w:rPr>
              <w:t>No High Dependency Unit</w:t>
            </w:r>
          </w:p>
          <w:p w:rsidR="007C7975" w:rsidRPr="00BB6596" w:rsidRDefault="007C7975" w:rsidP="00BB6596">
            <w:pPr>
              <w:spacing w:after="0"/>
              <w:rPr>
                <w:szCs w:val="24"/>
                <w:lang w:eastAsia="en-AU"/>
              </w:rPr>
            </w:pPr>
            <w:r w:rsidRPr="00BB6596">
              <w:rPr>
                <w:szCs w:val="24"/>
                <w:lang w:eastAsia="en-AU"/>
              </w:rPr>
              <w:t>Tertiary Step Down CCU/ICU</w:t>
            </w:r>
          </w:p>
          <w:p w:rsidR="007C7975" w:rsidRPr="00BB6596" w:rsidRDefault="007C7975" w:rsidP="00BB6596">
            <w:pPr>
              <w:spacing w:after="0"/>
              <w:rPr>
                <w:szCs w:val="24"/>
                <w:lang w:eastAsia="en-AU"/>
              </w:rPr>
            </w:pPr>
            <w:r w:rsidRPr="00BB6596">
              <w:rPr>
                <w:szCs w:val="24"/>
                <w:lang w:eastAsia="en-AU"/>
              </w:rPr>
              <w:t>Moderate/High Intervention Level</w:t>
            </w:r>
          </w:p>
        </w:tc>
      </w:tr>
      <w:tr w:rsidR="007C7975" w:rsidRPr="007C7975" w:rsidTr="003E2678">
        <w:trPr>
          <w:jc w:val="center"/>
        </w:trPr>
        <w:tc>
          <w:tcPr>
            <w:tcW w:w="1809" w:type="dxa"/>
          </w:tcPr>
          <w:p w:rsidR="007C7975" w:rsidRPr="00BB6596" w:rsidRDefault="007C7975" w:rsidP="00BB6596">
            <w:pPr>
              <w:spacing w:after="0"/>
              <w:rPr>
                <w:szCs w:val="24"/>
                <w:lang w:eastAsia="en-AU"/>
              </w:rPr>
            </w:pPr>
            <w:r w:rsidRPr="00BB6596">
              <w:rPr>
                <w:szCs w:val="24"/>
                <w:lang w:eastAsia="en-AU"/>
              </w:rPr>
              <w:t>C</w:t>
            </w:r>
          </w:p>
        </w:tc>
        <w:tc>
          <w:tcPr>
            <w:tcW w:w="1418" w:type="dxa"/>
          </w:tcPr>
          <w:p w:rsidR="007C7975" w:rsidRPr="00BB6596" w:rsidRDefault="007C7975" w:rsidP="00BB6596">
            <w:pPr>
              <w:spacing w:after="0"/>
              <w:rPr>
                <w:szCs w:val="24"/>
                <w:lang w:eastAsia="en-AU"/>
              </w:rPr>
            </w:pPr>
            <w:r w:rsidRPr="00BB6596">
              <w:rPr>
                <w:szCs w:val="24"/>
                <w:lang w:eastAsia="en-AU"/>
              </w:rPr>
              <w:t>5.75</w:t>
            </w:r>
          </w:p>
        </w:tc>
        <w:tc>
          <w:tcPr>
            <w:tcW w:w="6015" w:type="dxa"/>
          </w:tcPr>
          <w:p w:rsidR="007C7975" w:rsidRPr="00BB6596" w:rsidRDefault="007C7975" w:rsidP="00BB6596">
            <w:pPr>
              <w:spacing w:after="0"/>
              <w:rPr>
                <w:szCs w:val="24"/>
                <w:lang w:eastAsia="en-AU"/>
              </w:rPr>
            </w:pPr>
            <w:r w:rsidRPr="00BB6596">
              <w:rPr>
                <w:szCs w:val="24"/>
                <w:lang w:eastAsia="en-AU"/>
              </w:rPr>
              <w:t>High Complexity Acute</w:t>
            </w:r>
          </w:p>
          <w:p w:rsidR="007C7975" w:rsidRPr="00BB6596" w:rsidRDefault="007C7975" w:rsidP="00BB6596">
            <w:pPr>
              <w:spacing w:after="0"/>
              <w:rPr>
                <w:szCs w:val="24"/>
                <w:lang w:eastAsia="en-AU"/>
              </w:rPr>
            </w:pPr>
            <w:r w:rsidRPr="00BB6596">
              <w:rPr>
                <w:szCs w:val="24"/>
                <w:lang w:eastAsia="en-AU"/>
              </w:rPr>
              <w:t>Care Unit/Ward</w:t>
            </w:r>
          </w:p>
          <w:p w:rsidR="007C7975" w:rsidRPr="00BB6596" w:rsidRDefault="007C7975" w:rsidP="00BB6596">
            <w:pPr>
              <w:spacing w:after="0"/>
              <w:rPr>
                <w:szCs w:val="24"/>
                <w:lang w:eastAsia="en-AU"/>
              </w:rPr>
            </w:pPr>
            <w:r w:rsidRPr="00BB6596">
              <w:rPr>
                <w:szCs w:val="24"/>
                <w:lang w:eastAsia="en-AU"/>
              </w:rPr>
              <w:t>Moderate Patient Turnover &gt; 35%, OR</w:t>
            </w:r>
          </w:p>
          <w:p w:rsidR="007C7975" w:rsidRPr="00BB6596" w:rsidRDefault="007C7975" w:rsidP="00BB6596">
            <w:pPr>
              <w:spacing w:after="0"/>
              <w:rPr>
                <w:szCs w:val="24"/>
                <w:lang w:eastAsia="en-AU"/>
              </w:rPr>
            </w:pPr>
            <w:r w:rsidRPr="00BB6596">
              <w:rPr>
                <w:szCs w:val="24"/>
                <w:lang w:eastAsia="en-AU"/>
              </w:rPr>
              <w:t>Emergency Patient Admissions &gt; 50%</w:t>
            </w:r>
          </w:p>
        </w:tc>
      </w:tr>
      <w:tr w:rsidR="007C7975" w:rsidRPr="007C7975" w:rsidTr="003E2678">
        <w:trPr>
          <w:jc w:val="center"/>
        </w:trPr>
        <w:tc>
          <w:tcPr>
            <w:tcW w:w="1809" w:type="dxa"/>
          </w:tcPr>
          <w:p w:rsidR="007C7975" w:rsidRPr="00BB6596" w:rsidRDefault="007C7975" w:rsidP="00BB6596">
            <w:pPr>
              <w:spacing w:after="0"/>
              <w:rPr>
                <w:szCs w:val="24"/>
                <w:lang w:eastAsia="en-AU"/>
              </w:rPr>
            </w:pPr>
            <w:r w:rsidRPr="00BB6596">
              <w:rPr>
                <w:szCs w:val="24"/>
                <w:lang w:eastAsia="en-AU"/>
              </w:rPr>
              <w:t>D</w:t>
            </w:r>
          </w:p>
        </w:tc>
        <w:tc>
          <w:tcPr>
            <w:tcW w:w="1418" w:type="dxa"/>
          </w:tcPr>
          <w:p w:rsidR="007C7975" w:rsidRPr="00BB6596" w:rsidRDefault="007C7975" w:rsidP="00BB6596">
            <w:pPr>
              <w:spacing w:after="0"/>
              <w:rPr>
                <w:szCs w:val="24"/>
                <w:lang w:eastAsia="en-AU"/>
              </w:rPr>
            </w:pPr>
            <w:r w:rsidRPr="00BB6596">
              <w:rPr>
                <w:szCs w:val="24"/>
                <w:lang w:eastAsia="en-AU"/>
              </w:rPr>
              <w:t>5.0</w:t>
            </w:r>
          </w:p>
        </w:tc>
        <w:tc>
          <w:tcPr>
            <w:tcW w:w="6015" w:type="dxa"/>
          </w:tcPr>
          <w:p w:rsidR="007C7975" w:rsidRPr="00BB6596" w:rsidRDefault="007C7975" w:rsidP="00BB6596">
            <w:pPr>
              <w:spacing w:after="0"/>
              <w:rPr>
                <w:szCs w:val="24"/>
                <w:lang w:eastAsia="en-AU"/>
              </w:rPr>
            </w:pPr>
            <w:r w:rsidRPr="00BB6596">
              <w:rPr>
                <w:szCs w:val="24"/>
                <w:lang w:eastAsia="en-AU"/>
              </w:rPr>
              <w:t>Moderate Complexity</w:t>
            </w:r>
          </w:p>
          <w:p w:rsidR="007C7975" w:rsidRPr="00BB6596" w:rsidRDefault="007C7975" w:rsidP="00BB6596">
            <w:pPr>
              <w:spacing w:after="0"/>
              <w:rPr>
                <w:szCs w:val="24"/>
                <w:lang w:eastAsia="en-AU"/>
              </w:rPr>
            </w:pPr>
            <w:r w:rsidRPr="00BB6596">
              <w:rPr>
                <w:szCs w:val="24"/>
                <w:lang w:eastAsia="en-AU"/>
              </w:rPr>
              <w:t>Acute Rehabilitation Secondary Level</w:t>
            </w:r>
          </w:p>
          <w:p w:rsidR="007C7975" w:rsidRPr="00BB6596" w:rsidRDefault="007C7975" w:rsidP="00BB6596">
            <w:pPr>
              <w:spacing w:after="0"/>
              <w:rPr>
                <w:szCs w:val="24"/>
                <w:lang w:eastAsia="en-AU"/>
              </w:rPr>
            </w:pPr>
            <w:r w:rsidRPr="00BB6596">
              <w:rPr>
                <w:szCs w:val="24"/>
                <w:lang w:eastAsia="en-AU"/>
              </w:rPr>
              <w:t>Acute Unit/Ward</w:t>
            </w:r>
          </w:p>
          <w:p w:rsidR="007C7975" w:rsidRPr="00BB6596" w:rsidRDefault="007C7975" w:rsidP="00BB6596">
            <w:pPr>
              <w:spacing w:after="0"/>
              <w:rPr>
                <w:szCs w:val="24"/>
                <w:lang w:eastAsia="en-AU"/>
              </w:rPr>
            </w:pPr>
            <w:r w:rsidRPr="00BB6596">
              <w:rPr>
                <w:szCs w:val="24"/>
                <w:lang w:eastAsia="en-AU"/>
              </w:rPr>
              <w:t>Emergency patient admission &gt; 40%</w:t>
            </w:r>
          </w:p>
        </w:tc>
      </w:tr>
      <w:tr w:rsidR="007C7975" w:rsidRPr="007C7975" w:rsidTr="003E2678">
        <w:trPr>
          <w:jc w:val="center"/>
        </w:trPr>
        <w:tc>
          <w:tcPr>
            <w:tcW w:w="1809" w:type="dxa"/>
          </w:tcPr>
          <w:p w:rsidR="007C7975" w:rsidRPr="00BB6596" w:rsidRDefault="007C7975" w:rsidP="00BB6596">
            <w:pPr>
              <w:spacing w:after="0"/>
              <w:rPr>
                <w:szCs w:val="24"/>
                <w:lang w:eastAsia="en-AU"/>
              </w:rPr>
            </w:pPr>
            <w:r w:rsidRPr="00BB6596">
              <w:rPr>
                <w:szCs w:val="24"/>
                <w:lang w:eastAsia="en-AU"/>
              </w:rPr>
              <w:t>E</w:t>
            </w:r>
          </w:p>
        </w:tc>
        <w:tc>
          <w:tcPr>
            <w:tcW w:w="1418" w:type="dxa"/>
          </w:tcPr>
          <w:p w:rsidR="007C7975" w:rsidRPr="00BB6596" w:rsidRDefault="007C7975" w:rsidP="00BB6596">
            <w:pPr>
              <w:spacing w:after="0"/>
              <w:rPr>
                <w:szCs w:val="24"/>
                <w:lang w:eastAsia="en-AU"/>
              </w:rPr>
            </w:pPr>
            <w:r w:rsidRPr="00BB6596">
              <w:rPr>
                <w:szCs w:val="24"/>
                <w:lang w:eastAsia="en-AU"/>
              </w:rPr>
              <w:t>4.5</w:t>
            </w:r>
          </w:p>
        </w:tc>
        <w:tc>
          <w:tcPr>
            <w:tcW w:w="6015" w:type="dxa"/>
          </w:tcPr>
          <w:p w:rsidR="007C7975" w:rsidRPr="00BB6596" w:rsidRDefault="007C7975" w:rsidP="00BB6596">
            <w:pPr>
              <w:spacing w:after="0"/>
              <w:rPr>
                <w:szCs w:val="24"/>
                <w:lang w:eastAsia="en-AU"/>
              </w:rPr>
            </w:pPr>
            <w:r w:rsidRPr="00BB6596">
              <w:rPr>
                <w:szCs w:val="24"/>
                <w:lang w:eastAsia="en-AU"/>
              </w:rPr>
              <w:t>Moderate Complexity</w:t>
            </w:r>
          </w:p>
          <w:p w:rsidR="007C7975" w:rsidRPr="00BB6596" w:rsidRDefault="007C7975" w:rsidP="00BB6596">
            <w:pPr>
              <w:spacing w:after="0"/>
              <w:rPr>
                <w:szCs w:val="24"/>
                <w:lang w:eastAsia="en-AU"/>
              </w:rPr>
            </w:pPr>
            <w:r w:rsidRPr="00BB6596">
              <w:rPr>
                <w:szCs w:val="24"/>
                <w:lang w:eastAsia="en-AU"/>
              </w:rPr>
              <w:t>Moderate Patient Turnover &gt; 35%</w:t>
            </w:r>
          </w:p>
          <w:p w:rsidR="007C7975" w:rsidRPr="00BB6596" w:rsidRDefault="007C7975" w:rsidP="00BB6596">
            <w:pPr>
              <w:spacing w:after="0"/>
              <w:rPr>
                <w:szCs w:val="24"/>
                <w:lang w:eastAsia="en-AU"/>
              </w:rPr>
            </w:pPr>
            <w:r w:rsidRPr="00BB6596">
              <w:rPr>
                <w:szCs w:val="24"/>
                <w:lang w:eastAsia="en-AU"/>
              </w:rPr>
              <w:t>Sub-acute ward</w:t>
            </w:r>
          </w:p>
        </w:tc>
      </w:tr>
      <w:tr w:rsidR="007C7975" w:rsidRPr="007C7975" w:rsidTr="003E2678">
        <w:trPr>
          <w:jc w:val="center"/>
        </w:trPr>
        <w:tc>
          <w:tcPr>
            <w:tcW w:w="1809" w:type="dxa"/>
          </w:tcPr>
          <w:p w:rsidR="007C7975" w:rsidRPr="00BB6596" w:rsidRDefault="007C7975" w:rsidP="00BB6596">
            <w:pPr>
              <w:spacing w:after="0"/>
              <w:rPr>
                <w:szCs w:val="24"/>
                <w:lang w:eastAsia="en-AU"/>
              </w:rPr>
            </w:pPr>
            <w:r w:rsidRPr="00BB6596">
              <w:rPr>
                <w:szCs w:val="24"/>
                <w:lang w:eastAsia="en-AU"/>
              </w:rPr>
              <w:t>F</w:t>
            </w:r>
          </w:p>
        </w:tc>
        <w:tc>
          <w:tcPr>
            <w:tcW w:w="1418" w:type="dxa"/>
          </w:tcPr>
          <w:p w:rsidR="007C7975" w:rsidRPr="00BB6596" w:rsidRDefault="007C7975" w:rsidP="00BB6596">
            <w:pPr>
              <w:spacing w:after="0"/>
              <w:rPr>
                <w:szCs w:val="24"/>
                <w:lang w:eastAsia="en-AU"/>
              </w:rPr>
            </w:pPr>
            <w:r w:rsidRPr="00BB6596">
              <w:rPr>
                <w:szCs w:val="24"/>
                <w:lang w:eastAsia="en-AU"/>
              </w:rPr>
              <w:t>4.0</w:t>
            </w:r>
          </w:p>
        </w:tc>
        <w:tc>
          <w:tcPr>
            <w:tcW w:w="6015" w:type="dxa"/>
          </w:tcPr>
          <w:p w:rsidR="007C7975" w:rsidRPr="00BB6596" w:rsidRDefault="007C7975" w:rsidP="00BB6596">
            <w:pPr>
              <w:spacing w:after="0"/>
              <w:rPr>
                <w:szCs w:val="24"/>
                <w:lang w:eastAsia="en-AU"/>
              </w:rPr>
            </w:pPr>
            <w:r w:rsidRPr="00BB6596">
              <w:rPr>
                <w:szCs w:val="24"/>
                <w:lang w:eastAsia="en-AU"/>
              </w:rPr>
              <w:t>Moderate/Low Complexity</w:t>
            </w:r>
          </w:p>
          <w:p w:rsidR="007C7975" w:rsidRPr="00BB6596" w:rsidRDefault="007C7975" w:rsidP="00BB6596">
            <w:pPr>
              <w:spacing w:after="0"/>
              <w:rPr>
                <w:szCs w:val="24"/>
                <w:lang w:eastAsia="en-AU"/>
              </w:rPr>
            </w:pPr>
            <w:r w:rsidRPr="00BB6596">
              <w:rPr>
                <w:szCs w:val="24"/>
                <w:lang w:eastAsia="en-AU"/>
              </w:rPr>
              <w:t>Low Patient Turnover &lt; 35%</w:t>
            </w:r>
          </w:p>
          <w:p w:rsidR="007C7975" w:rsidRPr="00BB6596" w:rsidRDefault="007C7975" w:rsidP="00BB6596">
            <w:pPr>
              <w:spacing w:after="0"/>
              <w:rPr>
                <w:szCs w:val="24"/>
                <w:lang w:eastAsia="en-AU"/>
              </w:rPr>
            </w:pPr>
            <w:r w:rsidRPr="00BB6596">
              <w:rPr>
                <w:szCs w:val="24"/>
                <w:lang w:eastAsia="en-AU"/>
              </w:rPr>
              <w:t>Care Awaiting Placement/Age Care</w:t>
            </w:r>
          </w:p>
        </w:tc>
      </w:tr>
      <w:tr w:rsidR="007C7975" w:rsidRPr="007C7975" w:rsidTr="00A96F2C">
        <w:trPr>
          <w:trHeight w:val="70"/>
          <w:jc w:val="center"/>
        </w:trPr>
        <w:tc>
          <w:tcPr>
            <w:tcW w:w="1809" w:type="dxa"/>
          </w:tcPr>
          <w:p w:rsidR="007C7975" w:rsidRPr="00BB6596" w:rsidRDefault="007C7975" w:rsidP="00BB6596">
            <w:pPr>
              <w:spacing w:after="0"/>
              <w:rPr>
                <w:szCs w:val="24"/>
                <w:lang w:eastAsia="en-AU"/>
              </w:rPr>
            </w:pPr>
            <w:r w:rsidRPr="00BB6596">
              <w:rPr>
                <w:szCs w:val="24"/>
                <w:lang w:eastAsia="en-AU"/>
              </w:rPr>
              <w:t>G</w:t>
            </w:r>
          </w:p>
        </w:tc>
        <w:tc>
          <w:tcPr>
            <w:tcW w:w="1418" w:type="dxa"/>
          </w:tcPr>
          <w:p w:rsidR="007C7975" w:rsidRPr="00BB6596" w:rsidRDefault="007C7975" w:rsidP="00BB6596">
            <w:pPr>
              <w:spacing w:after="0"/>
              <w:rPr>
                <w:szCs w:val="24"/>
                <w:lang w:eastAsia="en-AU"/>
              </w:rPr>
            </w:pPr>
            <w:r w:rsidRPr="00BB6596">
              <w:rPr>
                <w:szCs w:val="24"/>
                <w:lang w:eastAsia="en-AU"/>
              </w:rPr>
              <w:t>3.0</w:t>
            </w:r>
          </w:p>
        </w:tc>
        <w:tc>
          <w:tcPr>
            <w:tcW w:w="6015" w:type="dxa"/>
          </w:tcPr>
          <w:p w:rsidR="007C7975" w:rsidRPr="00BB6596" w:rsidRDefault="007C7975" w:rsidP="00BB6596">
            <w:pPr>
              <w:spacing w:after="0"/>
              <w:rPr>
                <w:szCs w:val="24"/>
                <w:lang w:eastAsia="en-AU"/>
              </w:rPr>
            </w:pPr>
            <w:r w:rsidRPr="00BB6596">
              <w:rPr>
                <w:szCs w:val="24"/>
                <w:lang w:eastAsia="en-AU"/>
              </w:rPr>
              <w:t>Ambulatory Care including:</w:t>
            </w:r>
          </w:p>
          <w:p w:rsidR="007C7975" w:rsidRPr="00BB6596" w:rsidRDefault="007C7975" w:rsidP="00BB6596">
            <w:pPr>
              <w:spacing w:after="0"/>
              <w:rPr>
                <w:szCs w:val="24"/>
                <w:lang w:eastAsia="en-AU"/>
              </w:rPr>
            </w:pPr>
            <w:r w:rsidRPr="00BB6596">
              <w:rPr>
                <w:szCs w:val="24"/>
                <w:lang w:eastAsia="en-AU"/>
              </w:rPr>
              <w:t>Day surgery &amp; renal dialysis</w:t>
            </w:r>
          </w:p>
        </w:tc>
      </w:tr>
    </w:tbl>
    <w:p w:rsidR="00B63039" w:rsidRPr="00B63039" w:rsidRDefault="00B63039" w:rsidP="007C7975">
      <w:pPr>
        <w:pStyle w:val="Heading2"/>
      </w:pPr>
      <w:r w:rsidRPr="00B63039">
        <w:t>How were the benchmarks set?</w:t>
      </w:r>
    </w:p>
    <w:p w:rsidR="00B63039" w:rsidRPr="00B63039" w:rsidRDefault="00B63039" w:rsidP="00B63039">
      <w:r w:rsidRPr="00B63039">
        <w:t>A benchmarking exercise was conducted across all sites in WA Health during 2000-2001 to establish the initial targets.</w:t>
      </w:r>
    </w:p>
    <w:p w:rsidR="00B63039" w:rsidRPr="00B63039" w:rsidRDefault="00B63039" w:rsidP="00B63039">
      <w:r w:rsidRPr="00B63039">
        <w:t>All inpatient units are allocated to a benchmark group (Categories A to G) based on a range of defining characteristics including the diversity and complexity of nursing tasks.</w:t>
      </w:r>
    </w:p>
    <w:p w:rsidR="00B63039" w:rsidRPr="00B63039" w:rsidRDefault="00B63039" w:rsidP="00B63039">
      <w:r w:rsidRPr="00B63039">
        <w:t>Hours represent the total direct clinical care required for each patient in a 24 hour period and ranges from four hours in Category F (sub-acute or rehabilitation) to 31.6 hours in an Intensive Care Unit.</w:t>
      </w:r>
    </w:p>
    <w:p w:rsidR="00B63039" w:rsidRDefault="00B63039" w:rsidP="00B63039">
      <w:r w:rsidRPr="00B63039">
        <w:t>In Intensive Care or Critical Care Units, the NHPPD measures are based on the National Review of the Australian Critical Care Nursing Workforce.</w:t>
      </w:r>
    </w:p>
    <w:p w:rsidR="00B63039" w:rsidRPr="00B63039" w:rsidRDefault="00B63039" w:rsidP="007C7975">
      <w:pPr>
        <w:pStyle w:val="Heading2"/>
      </w:pPr>
      <w:r w:rsidRPr="00B63039">
        <w:t>Is the NHPPD benchmark the minimum or maximum hours required?</w:t>
      </w:r>
    </w:p>
    <w:p w:rsidR="007C7975" w:rsidRDefault="00B63039" w:rsidP="00B63039">
      <w:r w:rsidRPr="00B63039">
        <w:t>The NHPPD benchmarks are considered the minimum hours required to provide safe care for patients in that setting.  Hours can be averaged over rosters to enable greater hours to be provided at times of higher acuity and fewer hours during times of lower acuity or activity.</w:t>
      </w:r>
    </w:p>
    <w:p w:rsidR="00B63039" w:rsidRPr="00B63039" w:rsidRDefault="00B63039" w:rsidP="007C7975">
      <w:pPr>
        <w:pStyle w:val="Heading2"/>
      </w:pPr>
      <w:r w:rsidRPr="00B63039">
        <w:lastRenderedPageBreak/>
        <w:t>How is NHPPD applied?</w:t>
      </w:r>
    </w:p>
    <w:p w:rsidR="00B63039" w:rsidRPr="00B63039" w:rsidRDefault="00B63039" w:rsidP="00B63039">
      <w:r w:rsidRPr="00B63039">
        <w:t xml:space="preserve">The NHHPD model provides a systematic, benchmarked monitoring and measuring system to identify and report the number of direct nursing and/or midwifery hours required and provided to meet patient care needs in a specific clinical area. </w:t>
      </w:r>
    </w:p>
    <w:p w:rsidR="00B63039" w:rsidRPr="00B63039" w:rsidRDefault="00B63039" w:rsidP="00B63039">
      <w:pPr>
        <w:rPr>
          <w:b/>
        </w:rPr>
      </w:pPr>
      <w:r w:rsidRPr="00B63039">
        <w:rPr>
          <w:b/>
        </w:rPr>
        <w:t>Example: Ward 4</w:t>
      </w:r>
    </w:p>
    <w:p w:rsidR="00B63039" w:rsidRPr="00B63039" w:rsidRDefault="00B63039" w:rsidP="00B63039">
      <w:pPr>
        <w:pStyle w:val="ListParagraph"/>
        <w:numPr>
          <w:ilvl w:val="0"/>
          <w:numId w:val="17"/>
        </w:numPr>
      </w:pPr>
      <w:r w:rsidRPr="00B63039">
        <w:t xml:space="preserve">Ward 4 has </w:t>
      </w:r>
      <w:r w:rsidRPr="00B63039">
        <w:rPr>
          <w:b/>
        </w:rPr>
        <w:t>30</w:t>
      </w:r>
      <w:r w:rsidRPr="00B63039">
        <w:t xml:space="preserve"> beds and as per the NHPPD Guiding Principles, is a category </w:t>
      </w:r>
      <w:r w:rsidRPr="00B63039">
        <w:rPr>
          <w:b/>
        </w:rPr>
        <w:t>B (6.0)</w:t>
      </w:r>
      <w:r w:rsidRPr="00B63039">
        <w:t>.</w:t>
      </w:r>
    </w:p>
    <w:p w:rsidR="00B63039" w:rsidRPr="00B63039" w:rsidRDefault="00B63039" w:rsidP="00B63039">
      <w:pPr>
        <w:pStyle w:val="ListParagraph"/>
        <w:numPr>
          <w:ilvl w:val="0"/>
          <w:numId w:val="17"/>
        </w:numPr>
      </w:pPr>
      <w:r w:rsidRPr="00B63039">
        <w:t>Based on the budgeted number of beds, Ward 4’s average patients per day = 29 (96.6% occupancy).</w:t>
      </w:r>
    </w:p>
    <w:p w:rsidR="00B63039" w:rsidRPr="00B63039" w:rsidRDefault="00B63039" w:rsidP="00B63039">
      <w:pPr>
        <w:pStyle w:val="ListParagraph"/>
        <w:numPr>
          <w:ilvl w:val="0"/>
          <w:numId w:val="17"/>
        </w:numPr>
        <w:rPr>
          <w:b/>
        </w:rPr>
      </w:pPr>
      <w:r w:rsidRPr="00B63039">
        <w:t xml:space="preserve">To work out the NHPPD, the category is multiplied by the average beds/patients. For Ward 4 it is </w:t>
      </w:r>
      <w:r w:rsidRPr="00B63039">
        <w:rPr>
          <w:b/>
        </w:rPr>
        <w:t>6.0 x 29 patients = 174 nursing hours</w:t>
      </w:r>
    </w:p>
    <w:p w:rsidR="00B63039" w:rsidRPr="00B63039" w:rsidRDefault="00B63039" w:rsidP="00B63039">
      <w:pPr>
        <w:pStyle w:val="ListParagraph"/>
        <w:numPr>
          <w:ilvl w:val="0"/>
          <w:numId w:val="17"/>
        </w:numPr>
      </w:pPr>
      <w:r w:rsidRPr="00B63039">
        <w:t>To calculate the FTE required per week for the ward/department, multiply nursing hours by 14 days, divided by 76 hours (standard fulltime nursing/midwifery contract).</w:t>
      </w:r>
    </w:p>
    <w:p w:rsidR="00B63039" w:rsidRPr="00B63039" w:rsidRDefault="00B63039" w:rsidP="00B63039">
      <w:pPr>
        <w:pStyle w:val="ListParagraph"/>
        <w:numPr>
          <w:ilvl w:val="0"/>
          <w:numId w:val="17"/>
        </w:numPr>
      </w:pPr>
      <w:r w:rsidRPr="00B63039">
        <w:t>For Ward 4, the FTE required to cover the roster for a week would be: 174 nursing hours x 14 days ÷ 76 hours = 32.05 FTE</w:t>
      </w:r>
    </w:p>
    <w:p w:rsidR="00B63039" w:rsidRPr="00B63039" w:rsidRDefault="00B63039" w:rsidP="00B63039">
      <w:r w:rsidRPr="00B63039">
        <w:t>This FTE is the minimum target for the frontline nurse/midwife leader to roster staff in order to safely staff his/her ward/department.</w:t>
      </w:r>
    </w:p>
    <w:p w:rsidR="00B63039" w:rsidRPr="00B63039" w:rsidRDefault="00B63039" w:rsidP="00B63039">
      <w:r w:rsidRPr="00B63039">
        <w:t>The example rosters below demonstrate the flexibility the frontline nurse/midwife leader has in accommodating highs and lows in patient activity. This can be done by adjusting the staff roster per shift while staying within their NHPPD FTE target.</w:t>
      </w:r>
    </w:p>
    <w:p w:rsidR="007C7975" w:rsidRDefault="007C7975" w:rsidP="007C7975">
      <w:pPr>
        <w:spacing w:after="200" w:line="276" w:lineRule="auto"/>
        <w:contextualSpacing/>
        <w:jc w:val="both"/>
        <w:rPr>
          <w:rFonts w:cs="Arial"/>
          <w:b/>
          <w:szCs w:val="24"/>
        </w:rPr>
        <w:sectPr w:rsidR="007C7975" w:rsidSect="006A1853">
          <w:footerReference w:type="default" r:id="rId10"/>
          <w:headerReference w:type="first" r:id="rId11"/>
          <w:pgSz w:w="11906" w:h="16838" w:code="9"/>
          <w:pgMar w:top="680" w:right="680" w:bottom="680" w:left="680" w:header="680" w:footer="241" w:gutter="0"/>
          <w:cols w:space="708"/>
          <w:titlePg/>
          <w:docGrid w:linePitch="360"/>
        </w:sectPr>
      </w:pPr>
    </w:p>
    <w:p w:rsidR="007C7975" w:rsidRPr="007C7975" w:rsidRDefault="007C7975" w:rsidP="00BB6596">
      <w:pPr>
        <w:spacing w:after="200" w:line="276" w:lineRule="auto"/>
        <w:contextualSpacing/>
        <w:rPr>
          <w:rFonts w:cs="Arial"/>
          <w:b/>
          <w:szCs w:val="24"/>
        </w:rPr>
      </w:pPr>
      <w:r w:rsidRPr="007C7975">
        <w:rPr>
          <w:rFonts w:cs="Arial"/>
          <w:b/>
          <w:szCs w:val="24"/>
        </w:rPr>
        <w:lastRenderedPageBreak/>
        <w:t>Example roster one</w:t>
      </w:r>
    </w:p>
    <w:tbl>
      <w:tblPr>
        <w:tblW w:w="4260" w:type="dxa"/>
        <w:tblInd w:w="108" w:type="dxa"/>
        <w:tblLook w:val="04A0" w:firstRow="1" w:lastRow="0" w:firstColumn="1" w:lastColumn="0" w:noHBand="0" w:noVBand="1"/>
      </w:tblPr>
      <w:tblGrid>
        <w:gridCol w:w="960"/>
        <w:gridCol w:w="780"/>
        <w:gridCol w:w="780"/>
        <w:gridCol w:w="780"/>
        <w:gridCol w:w="960"/>
      </w:tblGrid>
      <w:tr w:rsidR="007C7975" w:rsidRPr="007C7975" w:rsidTr="00BB6596">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AM</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PM</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ND</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FTE</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Mon</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6</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4.70</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Tue</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9</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6</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4.90</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Wed</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6</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4.70</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Thu</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6</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4.70</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Fri</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6</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4.70</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Sat</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7</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5</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4.25</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Sun</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7</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7</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5</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4.05</w:t>
            </w:r>
          </w:p>
        </w:tc>
      </w:tr>
      <w:tr w:rsidR="007C7975" w:rsidRPr="007C7975" w:rsidTr="00BB6596">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780" w:type="dxa"/>
            <w:tcBorders>
              <w:top w:val="nil"/>
              <w:left w:val="nil"/>
              <w:bottom w:val="single" w:sz="8"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780" w:type="dxa"/>
            <w:tcBorders>
              <w:top w:val="nil"/>
              <w:left w:val="nil"/>
              <w:bottom w:val="single" w:sz="8"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780" w:type="dxa"/>
            <w:tcBorders>
              <w:top w:val="nil"/>
              <w:left w:val="nil"/>
              <w:bottom w:val="single" w:sz="8"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960" w:type="dxa"/>
            <w:tcBorders>
              <w:top w:val="nil"/>
              <w:left w:val="nil"/>
              <w:bottom w:val="single" w:sz="8"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32.00</w:t>
            </w:r>
          </w:p>
        </w:tc>
      </w:tr>
    </w:tbl>
    <w:p w:rsidR="007C7975" w:rsidRPr="007C7975" w:rsidRDefault="007C7975" w:rsidP="00BB6596">
      <w:pPr>
        <w:spacing w:after="200" w:line="276" w:lineRule="auto"/>
        <w:contextualSpacing/>
        <w:rPr>
          <w:rFonts w:cs="Arial"/>
          <w:szCs w:val="24"/>
        </w:rPr>
      </w:pPr>
    </w:p>
    <w:p w:rsidR="007C7975" w:rsidRPr="007C7975" w:rsidRDefault="007C7975" w:rsidP="00BB6596">
      <w:pPr>
        <w:spacing w:after="200" w:line="276" w:lineRule="auto"/>
        <w:contextualSpacing/>
        <w:rPr>
          <w:rFonts w:cs="Arial"/>
          <w:b/>
          <w:szCs w:val="24"/>
        </w:rPr>
      </w:pPr>
      <w:r w:rsidRPr="007C7975">
        <w:rPr>
          <w:rFonts w:cs="Arial"/>
          <w:b/>
          <w:szCs w:val="24"/>
        </w:rPr>
        <w:lastRenderedPageBreak/>
        <w:t>Example roster two</w:t>
      </w:r>
    </w:p>
    <w:tbl>
      <w:tblPr>
        <w:tblW w:w="4260" w:type="dxa"/>
        <w:tblInd w:w="108" w:type="dxa"/>
        <w:tblLook w:val="04A0" w:firstRow="1" w:lastRow="0" w:firstColumn="1" w:lastColumn="0" w:noHBand="0" w:noVBand="1"/>
      </w:tblPr>
      <w:tblGrid>
        <w:gridCol w:w="960"/>
        <w:gridCol w:w="780"/>
        <w:gridCol w:w="780"/>
        <w:gridCol w:w="780"/>
        <w:gridCol w:w="960"/>
      </w:tblGrid>
      <w:tr w:rsidR="007C7975" w:rsidRPr="007C7975" w:rsidTr="00BB6596">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AM</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PM</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ND</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FTE</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Mon</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5</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4.45</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Tue</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10</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7</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5.35</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Wed</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10</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7</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5.35</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Thu</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10</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7</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5.35</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Fri</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8</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9</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5</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4.65</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Sat</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6</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7</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5</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3.85</w:t>
            </w:r>
          </w:p>
        </w:tc>
      </w:tr>
      <w:tr w:rsidR="007C7975" w:rsidRPr="007C7975" w:rsidTr="00BB6596">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Sun</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6</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4</w:t>
            </w:r>
          </w:p>
        </w:tc>
        <w:tc>
          <w:tcPr>
            <w:tcW w:w="780" w:type="dxa"/>
            <w:tcBorders>
              <w:top w:val="nil"/>
              <w:left w:val="nil"/>
              <w:bottom w:val="single" w:sz="4"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4</w:t>
            </w:r>
          </w:p>
        </w:tc>
        <w:tc>
          <w:tcPr>
            <w:tcW w:w="960" w:type="dxa"/>
            <w:tcBorders>
              <w:top w:val="nil"/>
              <w:left w:val="nil"/>
              <w:bottom w:val="single" w:sz="4"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r w:rsidRPr="007C7975">
              <w:rPr>
                <w:rFonts w:cs="Arial"/>
                <w:szCs w:val="24"/>
              </w:rPr>
              <w:t>3.00</w:t>
            </w:r>
          </w:p>
        </w:tc>
      </w:tr>
      <w:tr w:rsidR="007C7975" w:rsidRPr="007C7975" w:rsidTr="00BB6596">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780" w:type="dxa"/>
            <w:tcBorders>
              <w:top w:val="nil"/>
              <w:left w:val="nil"/>
              <w:bottom w:val="single" w:sz="8"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780" w:type="dxa"/>
            <w:tcBorders>
              <w:top w:val="nil"/>
              <w:left w:val="nil"/>
              <w:bottom w:val="single" w:sz="8"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780" w:type="dxa"/>
            <w:tcBorders>
              <w:top w:val="nil"/>
              <w:left w:val="nil"/>
              <w:bottom w:val="single" w:sz="8" w:space="0" w:color="auto"/>
              <w:right w:val="single" w:sz="4" w:space="0" w:color="auto"/>
            </w:tcBorders>
            <w:shd w:val="clear" w:color="auto" w:fill="auto"/>
            <w:noWrap/>
            <w:vAlign w:val="bottom"/>
            <w:hideMark/>
          </w:tcPr>
          <w:p w:rsidR="007C7975" w:rsidRPr="007C7975" w:rsidRDefault="007C7975" w:rsidP="00BB6596">
            <w:pPr>
              <w:spacing w:after="200" w:line="276" w:lineRule="auto"/>
              <w:contextualSpacing/>
              <w:rPr>
                <w:rFonts w:cs="Arial"/>
                <w:szCs w:val="24"/>
              </w:rPr>
            </w:pPr>
          </w:p>
        </w:tc>
        <w:tc>
          <w:tcPr>
            <w:tcW w:w="960" w:type="dxa"/>
            <w:tcBorders>
              <w:top w:val="nil"/>
              <w:left w:val="nil"/>
              <w:bottom w:val="single" w:sz="8" w:space="0" w:color="auto"/>
              <w:right w:val="single" w:sz="8" w:space="0" w:color="auto"/>
            </w:tcBorders>
            <w:shd w:val="clear" w:color="auto" w:fill="auto"/>
            <w:noWrap/>
            <w:vAlign w:val="bottom"/>
            <w:hideMark/>
          </w:tcPr>
          <w:p w:rsidR="007C7975" w:rsidRPr="007C7975" w:rsidRDefault="007C7975" w:rsidP="00BB6596">
            <w:pPr>
              <w:spacing w:after="200" w:line="276" w:lineRule="auto"/>
              <w:contextualSpacing/>
              <w:rPr>
                <w:rFonts w:cs="Arial"/>
                <w:b/>
                <w:bCs/>
                <w:szCs w:val="24"/>
              </w:rPr>
            </w:pPr>
            <w:r w:rsidRPr="007C7975">
              <w:rPr>
                <w:rFonts w:cs="Arial"/>
                <w:b/>
                <w:bCs/>
                <w:szCs w:val="24"/>
              </w:rPr>
              <w:t>32.00</w:t>
            </w:r>
          </w:p>
        </w:tc>
      </w:tr>
    </w:tbl>
    <w:p w:rsidR="007C7975" w:rsidRDefault="007C7975" w:rsidP="00B63039">
      <w:pPr>
        <w:sectPr w:rsidR="007C7975" w:rsidSect="007C7975">
          <w:type w:val="continuous"/>
          <w:pgSz w:w="11906" w:h="16838" w:code="9"/>
          <w:pgMar w:top="680" w:right="680" w:bottom="680" w:left="680" w:header="680" w:footer="241" w:gutter="0"/>
          <w:cols w:num="2" w:space="708"/>
          <w:titlePg/>
          <w:docGrid w:linePitch="360"/>
        </w:sectPr>
      </w:pPr>
    </w:p>
    <w:p w:rsidR="007C7975" w:rsidRPr="007C7975" w:rsidRDefault="007C7975" w:rsidP="007C7975">
      <w:pPr>
        <w:pStyle w:val="Heading2"/>
        <w:rPr>
          <w:lang w:eastAsia="en-AU"/>
        </w:rPr>
      </w:pPr>
      <w:r w:rsidRPr="007C7975">
        <w:rPr>
          <w:lang w:eastAsia="en-AU"/>
        </w:rPr>
        <w:lastRenderedPageBreak/>
        <w:t>Reclassification review process</w:t>
      </w:r>
    </w:p>
    <w:p w:rsidR="007C7975" w:rsidRPr="007C7975" w:rsidRDefault="007C7975" w:rsidP="007C7975">
      <w:pPr>
        <w:rPr>
          <w:szCs w:val="24"/>
          <w:lang w:eastAsia="en-AU"/>
        </w:rPr>
      </w:pPr>
      <w:r w:rsidRPr="007C7975">
        <w:rPr>
          <w:szCs w:val="24"/>
          <w:lang w:eastAsia="en-AU"/>
        </w:rPr>
        <w:t>Where the complexity of the ward/department has changed, the NHPPD model incorporates a review process. This allows sites to submit a business case to have their category formally reviewed and updated against criteria.</w:t>
      </w:r>
    </w:p>
    <w:p w:rsidR="007C7975" w:rsidRPr="007C7975" w:rsidRDefault="007C7975" w:rsidP="007C7975">
      <w:pPr>
        <w:rPr>
          <w:color w:val="000000"/>
          <w:szCs w:val="24"/>
          <w:lang w:eastAsia="en-AU"/>
        </w:rPr>
      </w:pPr>
      <w:r w:rsidRPr="007C7975">
        <w:rPr>
          <w:color w:val="000000"/>
          <w:szCs w:val="24"/>
          <w:lang w:eastAsia="en-AU"/>
        </w:rPr>
        <w:t>All business case applications are reviewed and re-classified by the Statewide Workload Review Committee.</w:t>
      </w:r>
    </w:p>
    <w:p w:rsidR="007C7975" w:rsidRPr="007C7975" w:rsidRDefault="007C7975" w:rsidP="007C7975">
      <w:pPr>
        <w:rPr>
          <w:color w:val="000000"/>
          <w:szCs w:val="24"/>
          <w:lang w:eastAsia="en-AU"/>
        </w:rPr>
      </w:pPr>
      <w:r w:rsidRPr="007C7975">
        <w:rPr>
          <w:color w:val="000000"/>
          <w:szCs w:val="24"/>
          <w:lang w:eastAsia="en-AU"/>
        </w:rPr>
        <w:t xml:space="preserve">More information about reclassification is available </w:t>
      </w:r>
      <w:hyperlink r:id="rId12" w:history="1">
        <w:r w:rsidRPr="007C7975">
          <w:rPr>
            <w:color w:val="0000FF" w:themeColor="hyperlink"/>
            <w:szCs w:val="24"/>
            <w:u w:val="single"/>
            <w:lang w:eastAsia="en-AU"/>
          </w:rPr>
          <w:t>here</w:t>
        </w:r>
      </w:hyperlink>
      <w:r w:rsidRPr="007C7975">
        <w:rPr>
          <w:color w:val="000000"/>
          <w:szCs w:val="24"/>
          <w:lang w:eastAsia="en-AU"/>
        </w:rPr>
        <w:t>.</w:t>
      </w:r>
    </w:p>
    <w:p w:rsidR="007C7975" w:rsidRPr="007C7975" w:rsidRDefault="007C7975" w:rsidP="007C7975">
      <w:pPr>
        <w:pStyle w:val="Heading2"/>
        <w:rPr>
          <w:rFonts w:eastAsia="Calibri"/>
        </w:rPr>
      </w:pPr>
      <w:r w:rsidRPr="007C7975">
        <w:rPr>
          <w:rFonts w:eastAsia="Calibri"/>
        </w:rPr>
        <w:t>Related fact sheets</w:t>
      </w:r>
    </w:p>
    <w:p w:rsidR="007C7975" w:rsidRPr="00BB6596" w:rsidRDefault="008D4DE0" w:rsidP="00BB6596">
      <w:pPr>
        <w:pStyle w:val="ListParagraph"/>
        <w:numPr>
          <w:ilvl w:val="0"/>
          <w:numId w:val="21"/>
        </w:numPr>
        <w:rPr>
          <w:szCs w:val="24"/>
        </w:rPr>
      </w:pPr>
      <w:hyperlink r:id="rId13" w:history="1">
        <w:r w:rsidR="007C7975" w:rsidRPr="008326FE">
          <w:rPr>
            <w:rStyle w:val="Hyperlink"/>
            <w:szCs w:val="24"/>
          </w:rPr>
          <w:t>Nursing Hours per Patient Day: an overview</w:t>
        </w:r>
      </w:hyperlink>
      <w:r w:rsidR="007C7975" w:rsidRPr="00BB6596">
        <w:rPr>
          <w:szCs w:val="24"/>
        </w:rPr>
        <w:t xml:space="preserve"> </w:t>
      </w:r>
    </w:p>
    <w:p w:rsidR="007C7975" w:rsidRPr="007C7975" w:rsidRDefault="007C7975" w:rsidP="007C7975">
      <w:pPr>
        <w:pStyle w:val="Heading2"/>
      </w:pPr>
      <w:r w:rsidRPr="007C7975">
        <w:t>Further information</w:t>
      </w:r>
    </w:p>
    <w:p w:rsidR="007C7975" w:rsidRPr="007C7975" w:rsidRDefault="007C7975" w:rsidP="007C7975">
      <w:r w:rsidRPr="007C7975">
        <w:rPr>
          <w:szCs w:val="24"/>
        </w:rPr>
        <w:t xml:space="preserve">Further information on workload management, benchmarking and reporting can be found </w:t>
      </w:r>
      <w:hyperlink r:id="rId14" w:history="1">
        <w:r w:rsidRPr="007C7975">
          <w:rPr>
            <w:color w:val="0000FF" w:themeColor="hyperlink"/>
            <w:szCs w:val="24"/>
            <w:u w:val="single"/>
          </w:rPr>
          <w:t>here</w:t>
        </w:r>
      </w:hyperlink>
      <w:r w:rsidRPr="007C7975">
        <w:rPr>
          <w:szCs w:val="24"/>
        </w:rPr>
        <w:t>.</w:t>
      </w:r>
    </w:p>
    <w:p w:rsidR="00B63039" w:rsidRDefault="00B63039" w:rsidP="00B63039"/>
    <w:p w:rsidR="007C7975" w:rsidRDefault="007C7975" w:rsidP="00B63039"/>
    <w:p w:rsidR="007C7975" w:rsidRDefault="007C7975"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B6596" w:rsidRDefault="00BB6596" w:rsidP="00B63039"/>
    <w:p w:rsidR="00B63039" w:rsidRDefault="00B63039" w:rsidP="00B63039">
      <w:pPr>
        <w:spacing w:after="300"/>
        <w:ind w:right="-1"/>
      </w:pPr>
      <w:r>
        <w:t>© Nursing and Midwifery Office, WA Department of Health 201</w:t>
      </w:r>
      <w:r w:rsidR="00986115">
        <w:t>7</w:t>
      </w:r>
    </w:p>
    <w:p w:rsidR="00B63039" w:rsidRDefault="00B63039" w:rsidP="00B63039">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rsidR="00B63039" w:rsidRPr="00BB6596" w:rsidRDefault="00B63039" w:rsidP="00BB6596">
      <w:pPr>
        <w:pStyle w:val="TEXT"/>
        <w:spacing w:line="240" w:lineRule="auto"/>
        <w:ind w:right="-1"/>
        <w:rPr>
          <w:rFonts w:ascii="Arial" w:hAnsi="Arial"/>
          <w:sz w:val="22"/>
          <w:szCs w:val="22"/>
        </w:rPr>
      </w:pPr>
      <w:r>
        <w:rPr>
          <w:rFonts w:ascii="Arial" w:hAnsi="Arial"/>
          <w:noProof/>
          <w:sz w:val="22"/>
          <w:szCs w:val="22"/>
          <w:lang w:val="en-AU" w:eastAsia="en-AU"/>
        </w:rPr>
        <w:drawing>
          <wp:inline distT="0" distB="0" distL="0" distR="0" wp14:anchorId="6655392B" wp14:editId="6E7F14B0">
            <wp:extent cx="6684010" cy="1631901"/>
            <wp:effectExtent l="0" t="0" r="254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he72200\Desktop\Swoosh Blue 2945.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84010" cy="1631901"/>
                    </a:xfrm>
                    <a:prstGeom prst="rect">
                      <a:avLst/>
                    </a:prstGeom>
                    <a:noFill/>
                    <a:ln>
                      <a:noFill/>
                    </a:ln>
                  </pic:spPr>
                </pic:pic>
              </a:graphicData>
            </a:graphic>
          </wp:inline>
        </w:drawing>
      </w:r>
    </w:p>
    <w:sectPr w:rsidR="00B63039" w:rsidRPr="00BB6596" w:rsidSect="007C7975">
      <w:type w:val="continuous"/>
      <w:pgSz w:w="11906" w:h="16838" w:code="9"/>
      <w:pgMar w:top="680" w:right="680" w:bottom="680" w:left="680" w:header="680" w:footer="2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74" w:rsidRDefault="00F21A74" w:rsidP="0013662A">
      <w:pPr>
        <w:spacing w:after="0"/>
      </w:pPr>
      <w:r>
        <w:separator/>
      </w:r>
    </w:p>
  </w:endnote>
  <w:endnote w:type="continuationSeparator" w:id="0">
    <w:p w:rsidR="00F21A74" w:rsidRDefault="00F21A74"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20B0402020200020204"/>
    <w:charset w:val="00"/>
    <w:family w:val="swiss"/>
    <w:notTrueType/>
    <w:pitch w:val="variable"/>
    <w:sig w:usb0="800000AF" w:usb1="4000204A" w:usb2="00000000" w:usb3="00000000" w:csb0="00000001" w:csb1="00000000"/>
  </w:font>
  <w:font w:name="ArialMTStd">
    <w:altName w:val="Arial MT Std"/>
    <w:panose1 w:val="020B0402020200020204"/>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158239"/>
      <w:docPartObj>
        <w:docPartGallery w:val="Page Numbers (Bottom of Page)"/>
        <w:docPartUnique/>
      </w:docPartObj>
    </w:sdtPr>
    <w:sdtEndPr>
      <w:rPr>
        <w:rFonts w:ascii="Arial MT Std" w:hAnsi="Arial MT Std"/>
        <w:noProof/>
      </w:rPr>
    </w:sdtEndPr>
    <w:sdtContent>
      <w:p w:rsidR="00BB6596" w:rsidRPr="00BB6596" w:rsidRDefault="00BB6596">
        <w:pPr>
          <w:pStyle w:val="Footer"/>
          <w:jc w:val="right"/>
          <w:rPr>
            <w:rFonts w:ascii="Arial MT Std" w:hAnsi="Arial MT Std"/>
          </w:rPr>
        </w:pPr>
        <w:r w:rsidRPr="00BB6596">
          <w:rPr>
            <w:rFonts w:ascii="Arial MT Std" w:hAnsi="Arial MT Std"/>
          </w:rPr>
          <w:fldChar w:fldCharType="begin"/>
        </w:r>
        <w:r w:rsidRPr="00BB6596">
          <w:rPr>
            <w:rFonts w:ascii="Arial MT Std" w:hAnsi="Arial MT Std"/>
          </w:rPr>
          <w:instrText xml:space="preserve"> PAGE   \* MERGEFORMAT </w:instrText>
        </w:r>
        <w:r w:rsidRPr="00BB6596">
          <w:rPr>
            <w:rFonts w:ascii="Arial MT Std" w:hAnsi="Arial MT Std"/>
          </w:rPr>
          <w:fldChar w:fldCharType="separate"/>
        </w:r>
        <w:r w:rsidR="008D4DE0">
          <w:rPr>
            <w:rFonts w:ascii="Arial MT Std" w:hAnsi="Arial MT Std"/>
            <w:noProof/>
          </w:rPr>
          <w:t>4</w:t>
        </w:r>
        <w:r w:rsidRPr="00BB6596">
          <w:rPr>
            <w:rFonts w:ascii="Arial MT Std" w:hAnsi="Arial MT Std"/>
            <w:noProof/>
          </w:rPr>
          <w:fldChar w:fldCharType="end"/>
        </w:r>
      </w:p>
    </w:sdtContent>
  </w:sdt>
  <w:p w:rsidR="00B63039" w:rsidRDefault="00B63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74" w:rsidRDefault="00F21A74" w:rsidP="0013662A">
      <w:pPr>
        <w:spacing w:after="0"/>
      </w:pPr>
      <w:r>
        <w:separator/>
      </w:r>
    </w:p>
  </w:footnote>
  <w:footnote w:type="continuationSeparator" w:id="0">
    <w:p w:rsidR="00F21A74" w:rsidRDefault="00F21A74"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74" w:rsidRPr="00F21A74" w:rsidRDefault="00F21A74" w:rsidP="00F21A74">
    <w:r>
      <w:rPr>
        <w:noProof/>
        <w:lang w:eastAsia="en-AU"/>
      </w:rPr>
      <w:drawing>
        <wp:inline distT="0" distB="0" distL="0" distR="0" wp14:anchorId="7068C98A" wp14:editId="7F08B6B4">
          <wp:extent cx="3155315" cy="734060"/>
          <wp:effectExtent l="0" t="0" r="6985" b="8890"/>
          <wp:docPr id="96" name="Picture 10" descr="W:\Health Reform\EPG\NMO\Marketing\Logos\1 NMO Logos\NURSING_AND_MIDWIFERY_OFF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ealth Reform\EPG\NMO\Marketing\Logos\1 NMO Logos\NURSING_AND_MIDWIFERY_OFFIC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315" cy="734060"/>
                  </a:xfrm>
                  <a:prstGeom prst="rect">
                    <a:avLst/>
                  </a:prstGeom>
                  <a:noFill/>
                  <a:ln>
                    <a:noFill/>
                  </a:ln>
                </pic:spPr>
              </pic:pic>
            </a:graphicData>
          </a:graphic>
        </wp:inline>
      </w:drawing>
    </w:r>
    <w:r>
      <w:t xml:space="preserve">                  </w:t>
    </w:r>
    <w:r>
      <w:rPr>
        <w:noProof/>
        <w:lang w:eastAsia="en-AU"/>
      </w:rPr>
      <w:drawing>
        <wp:inline distT="0" distB="0" distL="0" distR="0" wp14:anchorId="0C561619" wp14:editId="5D9A768D">
          <wp:extent cx="721360" cy="850265"/>
          <wp:effectExtent l="0" t="0" r="2540" b="6985"/>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850265"/>
                  </a:xfrm>
                  <a:prstGeom prst="rect">
                    <a:avLst/>
                  </a:prstGeom>
                  <a:noFill/>
                  <a:ln>
                    <a:noFill/>
                  </a:ln>
                </pic:spPr>
              </pic:pic>
            </a:graphicData>
          </a:graphic>
        </wp:inline>
      </w:drawing>
    </w:r>
    <w:r>
      <w:t xml:space="preserve">  </w:t>
    </w:r>
    <w:r>
      <w:rPr>
        <w:noProof/>
        <w:lang w:eastAsia="en-AU"/>
      </w:rPr>
      <w:drawing>
        <wp:inline distT="0" distB="0" distL="0" distR="0" wp14:anchorId="09C2E547" wp14:editId="14E29768">
          <wp:extent cx="566420" cy="721360"/>
          <wp:effectExtent l="0" t="0" r="5080" b="2540"/>
          <wp:docPr id="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420" cy="721360"/>
                  </a:xfrm>
                  <a:prstGeom prst="rect">
                    <a:avLst/>
                  </a:prstGeom>
                  <a:noFill/>
                  <a:ln>
                    <a:noFill/>
                  </a:ln>
                </pic:spPr>
              </pic:pic>
            </a:graphicData>
          </a:graphic>
        </wp:inline>
      </w:drawing>
    </w:r>
    <w:r>
      <w:t xml:space="preserve">  </w:t>
    </w:r>
    <w:r>
      <w:rPr>
        <w:noProof/>
        <w:lang w:eastAsia="en-AU"/>
      </w:rPr>
      <w:drawing>
        <wp:inline distT="0" distB="0" distL="0" distR="0" wp14:anchorId="53D7369D" wp14:editId="025709F8">
          <wp:extent cx="576263" cy="723633"/>
          <wp:effectExtent l="0" t="0" r="0" b="635"/>
          <wp:docPr id="9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588" cy="725297"/>
                  </a:xfrm>
                  <a:prstGeom prst="rect">
                    <a:avLst/>
                  </a:prstGeom>
                  <a:noFill/>
                  <a:ln>
                    <a:noFill/>
                  </a:ln>
                </pic:spPr>
              </pic:pic>
            </a:graphicData>
          </a:graphic>
        </wp:inline>
      </w:drawing>
    </w:r>
    <w:r>
      <w:t xml:space="preserve">  </w:t>
    </w:r>
    <w:r>
      <w:rPr>
        <w:noProof/>
        <w:lang w:eastAsia="en-AU"/>
      </w:rPr>
      <w:drawing>
        <wp:inline distT="0" distB="0" distL="0" distR="0" wp14:anchorId="602615E8" wp14:editId="30234292">
          <wp:extent cx="596543" cy="732304"/>
          <wp:effectExtent l="0" t="0" r="0" b="0"/>
          <wp:docPr id="8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80" cy="733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07"/>
    <w:multiLevelType w:val="hybridMultilevel"/>
    <w:tmpl w:val="8264C4D2"/>
    <w:lvl w:ilvl="0" w:tplc="47C82EA6">
      <w:start w:val="1"/>
      <w:numFmt w:val="bullet"/>
      <w:lvlText w:val=""/>
      <w:lvlJc w:val="left"/>
      <w:pPr>
        <w:ind w:left="720" w:hanging="360"/>
      </w:pPr>
      <w:rPr>
        <w:rFonts w:ascii="Symbol" w:hAnsi="Symbol" w:hint="default"/>
        <w:color w:val="095489"/>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810994"/>
    <w:multiLevelType w:val="hybridMultilevel"/>
    <w:tmpl w:val="61B27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52F5537"/>
    <w:multiLevelType w:val="hybridMultilevel"/>
    <w:tmpl w:val="CF08F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6A07CD3"/>
    <w:multiLevelType w:val="hybridMultilevel"/>
    <w:tmpl w:val="FD16FE66"/>
    <w:lvl w:ilvl="0" w:tplc="47C82EA6">
      <w:start w:val="1"/>
      <w:numFmt w:val="bullet"/>
      <w:lvlText w:val=""/>
      <w:lvlJc w:val="left"/>
      <w:pPr>
        <w:ind w:left="720" w:hanging="360"/>
      </w:pPr>
      <w:rPr>
        <w:rFonts w:ascii="Symbol" w:hAnsi="Symbol" w:hint="default"/>
        <w:color w:val="095489"/>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4B4C44"/>
    <w:multiLevelType w:val="hybridMultilevel"/>
    <w:tmpl w:val="1A4E815E"/>
    <w:lvl w:ilvl="0" w:tplc="47C82EA6">
      <w:start w:val="1"/>
      <w:numFmt w:val="bullet"/>
      <w:lvlText w:val=""/>
      <w:lvlJc w:val="left"/>
      <w:pPr>
        <w:ind w:left="720" w:hanging="360"/>
      </w:pPr>
      <w:rPr>
        <w:rFonts w:ascii="Symbol" w:hAnsi="Symbol" w:hint="default"/>
        <w:color w:val="095489"/>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7313BF"/>
    <w:multiLevelType w:val="hybridMultilevel"/>
    <w:tmpl w:val="4AF63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67574C5"/>
    <w:multiLevelType w:val="hybridMultilevel"/>
    <w:tmpl w:val="EA22E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7BB2D62"/>
    <w:multiLevelType w:val="hybridMultilevel"/>
    <w:tmpl w:val="75B63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FD334E8"/>
    <w:multiLevelType w:val="hybridMultilevel"/>
    <w:tmpl w:val="D590A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AEF7B1B"/>
    <w:multiLevelType w:val="hybridMultilevel"/>
    <w:tmpl w:val="26D4F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B9D020A"/>
    <w:multiLevelType w:val="hybridMultilevel"/>
    <w:tmpl w:val="BE008E56"/>
    <w:lvl w:ilvl="0" w:tplc="01B28914">
      <w:start w:val="1"/>
      <w:numFmt w:val="bullet"/>
      <w:lvlText w:val=""/>
      <w:lvlJc w:val="left"/>
      <w:pPr>
        <w:ind w:left="360" w:hanging="360"/>
      </w:pPr>
      <w:rPr>
        <w:rFonts w:ascii="Symbol" w:hAnsi="Symbol" w:hint="default"/>
        <w:color w:val="005B6C"/>
        <w:sz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54A62F66"/>
    <w:multiLevelType w:val="hybridMultilevel"/>
    <w:tmpl w:val="33826B28"/>
    <w:lvl w:ilvl="0" w:tplc="47C82EA6">
      <w:start w:val="1"/>
      <w:numFmt w:val="bullet"/>
      <w:lvlText w:val=""/>
      <w:lvlJc w:val="left"/>
      <w:pPr>
        <w:ind w:left="720" w:hanging="360"/>
      </w:pPr>
      <w:rPr>
        <w:rFonts w:ascii="Symbol" w:hAnsi="Symbol" w:hint="default"/>
        <w:color w:val="095489"/>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11252A"/>
    <w:multiLevelType w:val="hybridMultilevel"/>
    <w:tmpl w:val="EC260E62"/>
    <w:lvl w:ilvl="0" w:tplc="47C82EA6">
      <w:start w:val="1"/>
      <w:numFmt w:val="bullet"/>
      <w:lvlText w:val=""/>
      <w:lvlJc w:val="left"/>
      <w:pPr>
        <w:ind w:left="360" w:hanging="360"/>
      </w:pPr>
      <w:rPr>
        <w:rFonts w:ascii="Symbol" w:hAnsi="Symbol" w:hint="default"/>
        <w:color w:val="095489"/>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D75135B"/>
    <w:multiLevelType w:val="hybridMultilevel"/>
    <w:tmpl w:val="7944BE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5FFC1F87"/>
    <w:multiLevelType w:val="hybridMultilevel"/>
    <w:tmpl w:val="853E234E"/>
    <w:lvl w:ilvl="0" w:tplc="47C82EA6">
      <w:start w:val="1"/>
      <w:numFmt w:val="bullet"/>
      <w:lvlText w:val=""/>
      <w:lvlJc w:val="left"/>
      <w:pPr>
        <w:ind w:left="720" w:hanging="360"/>
      </w:pPr>
      <w:rPr>
        <w:rFonts w:ascii="Symbol" w:hAnsi="Symbol" w:hint="default"/>
        <w:color w:val="095489"/>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9548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C63A1A"/>
    <w:multiLevelType w:val="hybridMultilevel"/>
    <w:tmpl w:val="47F2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877C6B"/>
    <w:multiLevelType w:val="hybridMultilevel"/>
    <w:tmpl w:val="B1161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A8B2E21"/>
    <w:multiLevelType w:val="hybridMultilevel"/>
    <w:tmpl w:val="A4F83D94"/>
    <w:lvl w:ilvl="0" w:tplc="47C82EA6">
      <w:start w:val="1"/>
      <w:numFmt w:val="bullet"/>
      <w:lvlText w:val=""/>
      <w:lvlJc w:val="left"/>
      <w:pPr>
        <w:ind w:left="360" w:hanging="360"/>
      </w:pPr>
      <w:rPr>
        <w:rFonts w:ascii="Symbol" w:hAnsi="Symbol" w:hint="default"/>
        <w:color w:val="095489"/>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1005AF3"/>
    <w:multiLevelType w:val="hybridMultilevel"/>
    <w:tmpl w:val="B4665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70B3A10"/>
    <w:multiLevelType w:val="hybridMultilevel"/>
    <w:tmpl w:val="9392B6F2"/>
    <w:lvl w:ilvl="0" w:tplc="47C82EA6">
      <w:start w:val="1"/>
      <w:numFmt w:val="bullet"/>
      <w:lvlText w:val=""/>
      <w:lvlJc w:val="left"/>
      <w:pPr>
        <w:ind w:left="360" w:hanging="360"/>
      </w:pPr>
      <w:rPr>
        <w:rFonts w:ascii="Symbol" w:hAnsi="Symbol" w:hint="default"/>
        <w:color w:val="095489"/>
        <w:sz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3"/>
  </w:num>
  <w:num w:numId="4">
    <w:abstractNumId w:val="10"/>
  </w:num>
  <w:num w:numId="5">
    <w:abstractNumId w:val="20"/>
  </w:num>
  <w:num w:numId="6">
    <w:abstractNumId w:val="5"/>
  </w:num>
  <w:num w:numId="7">
    <w:abstractNumId w:val="18"/>
  </w:num>
  <w:num w:numId="8">
    <w:abstractNumId w:val="7"/>
  </w:num>
  <w:num w:numId="9">
    <w:abstractNumId w:val="6"/>
  </w:num>
  <w:num w:numId="10">
    <w:abstractNumId w:val="8"/>
  </w:num>
  <w:num w:numId="11">
    <w:abstractNumId w:val="1"/>
  </w:num>
  <w:num w:numId="12">
    <w:abstractNumId w:val="9"/>
  </w:num>
  <w:num w:numId="13">
    <w:abstractNumId w:val="2"/>
  </w:num>
  <w:num w:numId="14">
    <w:abstractNumId w:val="17"/>
  </w:num>
  <w:num w:numId="15">
    <w:abstractNumId w:val="19"/>
  </w:num>
  <w:num w:numId="16">
    <w:abstractNumId w:val="12"/>
  </w:num>
  <w:num w:numId="17">
    <w:abstractNumId w:val="11"/>
  </w:num>
  <w:num w:numId="18">
    <w:abstractNumId w:val="3"/>
  </w:num>
  <w:num w:numId="19">
    <w:abstractNumId w:val="0"/>
  </w:num>
  <w:num w:numId="20">
    <w:abstractNumId w:val="16"/>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74"/>
    <w:rsid w:val="00022D93"/>
    <w:rsid w:val="000817F3"/>
    <w:rsid w:val="0013662A"/>
    <w:rsid w:val="001437E0"/>
    <w:rsid w:val="00171B7B"/>
    <w:rsid w:val="001C7D1F"/>
    <w:rsid w:val="001F6030"/>
    <w:rsid w:val="001F68E9"/>
    <w:rsid w:val="00220E8F"/>
    <w:rsid w:val="002C7D7D"/>
    <w:rsid w:val="002E5F5B"/>
    <w:rsid w:val="00352111"/>
    <w:rsid w:val="00355004"/>
    <w:rsid w:val="003929E7"/>
    <w:rsid w:val="004316D7"/>
    <w:rsid w:val="004638E4"/>
    <w:rsid w:val="00466DB9"/>
    <w:rsid w:val="00471692"/>
    <w:rsid w:val="00492C70"/>
    <w:rsid w:val="004A609E"/>
    <w:rsid w:val="004C2780"/>
    <w:rsid w:val="004C27CB"/>
    <w:rsid w:val="004C6976"/>
    <w:rsid w:val="00521D1A"/>
    <w:rsid w:val="0056716B"/>
    <w:rsid w:val="00575168"/>
    <w:rsid w:val="00597A85"/>
    <w:rsid w:val="005A409E"/>
    <w:rsid w:val="005D455D"/>
    <w:rsid w:val="00612863"/>
    <w:rsid w:val="006A1853"/>
    <w:rsid w:val="006F1E2D"/>
    <w:rsid w:val="006F52D0"/>
    <w:rsid w:val="007045B7"/>
    <w:rsid w:val="00753150"/>
    <w:rsid w:val="0077027C"/>
    <w:rsid w:val="007C7975"/>
    <w:rsid w:val="007D3AE7"/>
    <w:rsid w:val="007D793C"/>
    <w:rsid w:val="008326FE"/>
    <w:rsid w:val="00881846"/>
    <w:rsid w:val="00882643"/>
    <w:rsid w:val="00897837"/>
    <w:rsid w:val="008A5D3D"/>
    <w:rsid w:val="008D4DE0"/>
    <w:rsid w:val="008E3665"/>
    <w:rsid w:val="008F7FE4"/>
    <w:rsid w:val="009268E4"/>
    <w:rsid w:val="00930DF8"/>
    <w:rsid w:val="00933CEB"/>
    <w:rsid w:val="009668ED"/>
    <w:rsid w:val="00981DA1"/>
    <w:rsid w:val="00986115"/>
    <w:rsid w:val="00990D6C"/>
    <w:rsid w:val="009B0844"/>
    <w:rsid w:val="00A5579F"/>
    <w:rsid w:val="00A91C4C"/>
    <w:rsid w:val="00A96F2C"/>
    <w:rsid w:val="00AA1620"/>
    <w:rsid w:val="00AD2403"/>
    <w:rsid w:val="00AF0C79"/>
    <w:rsid w:val="00B03795"/>
    <w:rsid w:val="00B17ECC"/>
    <w:rsid w:val="00B63039"/>
    <w:rsid w:val="00B85FD3"/>
    <w:rsid w:val="00BB5682"/>
    <w:rsid w:val="00BB6596"/>
    <w:rsid w:val="00BD41EB"/>
    <w:rsid w:val="00BD7C33"/>
    <w:rsid w:val="00BE3C2D"/>
    <w:rsid w:val="00C7143D"/>
    <w:rsid w:val="00C729CE"/>
    <w:rsid w:val="00CF2778"/>
    <w:rsid w:val="00CF64E2"/>
    <w:rsid w:val="00D147D4"/>
    <w:rsid w:val="00D452D7"/>
    <w:rsid w:val="00D5563C"/>
    <w:rsid w:val="00D636EE"/>
    <w:rsid w:val="00D9301F"/>
    <w:rsid w:val="00DD22D0"/>
    <w:rsid w:val="00DE4BFE"/>
    <w:rsid w:val="00E17F51"/>
    <w:rsid w:val="00E40563"/>
    <w:rsid w:val="00E47483"/>
    <w:rsid w:val="00F21A74"/>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B63039"/>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imes New Roman"/>
      <w:bCs/>
      <w:color w:val="095489"/>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imes New Roman"/>
      <w:b/>
      <w:bCs/>
      <w:color w:val="095489"/>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imes New Roman"/>
      <w:b/>
      <w:bCs/>
      <w:color w:val="095489"/>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imes New Roman"/>
      <w:b/>
      <w:bCs/>
      <w:iCs/>
      <w:color w:val="757477"/>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rsid w:val="004C2780"/>
    <w:pPr>
      <w:spacing w:before="240" w:after="660"/>
    </w:pPr>
    <w:rPr>
      <w:b/>
      <w:color w:val="000000"/>
      <w:sz w:val="60"/>
    </w:rPr>
  </w:style>
  <w:style w:type="paragraph" w:customStyle="1" w:styleId="Subheadlines">
    <w:name w:val="Sub headlines"/>
    <w:basedOn w:val="Normal"/>
    <w:next w:val="Normal"/>
    <w:rsid w:val="00171B7B"/>
    <w:rPr>
      <w:b/>
      <w:color w:val="000000"/>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753150"/>
    <w:rPr>
      <w:rFonts w:ascii="Arial" w:eastAsia="Times New Roman" w:hAnsi="Arial" w:cs="Times New Roman"/>
      <w:bCs/>
      <w:color w:val="095489"/>
      <w:sz w:val="64"/>
      <w:szCs w:val="28"/>
    </w:rPr>
  </w:style>
  <w:style w:type="character" w:customStyle="1" w:styleId="Heading2Char">
    <w:name w:val="Heading 2 Char"/>
    <w:link w:val="Heading2"/>
    <w:uiPriority w:val="9"/>
    <w:rsid w:val="002E5F5B"/>
    <w:rPr>
      <w:rFonts w:ascii="Arial" w:eastAsia="Times New Roman" w:hAnsi="Arial" w:cs="Times New Roman"/>
      <w:b/>
      <w:bCs/>
      <w:color w:val="095489"/>
      <w:sz w:val="30"/>
      <w:szCs w:val="26"/>
    </w:rPr>
  </w:style>
  <w:style w:type="character" w:customStyle="1" w:styleId="Heading3Char">
    <w:name w:val="Heading 3 Char"/>
    <w:link w:val="Heading3"/>
    <w:uiPriority w:val="9"/>
    <w:rsid w:val="0013662A"/>
    <w:rPr>
      <w:rFonts w:ascii="Arial" w:eastAsia="Times New Roman" w:hAnsi="Arial" w:cs="Times New Roman"/>
      <w:b/>
      <w:bCs/>
      <w:color w:val="095489"/>
      <w:sz w:val="26"/>
    </w:rPr>
  </w:style>
  <w:style w:type="character" w:customStyle="1" w:styleId="Heading4Char">
    <w:name w:val="Heading 4 Char"/>
    <w:link w:val="Heading4"/>
    <w:uiPriority w:val="9"/>
    <w:rsid w:val="00171B7B"/>
    <w:rPr>
      <w:rFonts w:ascii="Arial" w:eastAsia="Times New Roman" w:hAnsi="Arial" w:cs="Times New Roman"/>
      <w:b/>
      <w:bCs/>
      <w:iCs/>
      <w:color w:val="757477"/>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Cambria" w:hAnsi="Cambria"/>
      <w:color w:val="063E66"/>
      <w:sz w:val="28"/>
      <w:lang w:val="en-US" w:eastAsia="ja-JP"/>
    </w:rPr>
  </w:style>
  <w:style w:type="paragraph" w:styleId="TOC1">
    <w:name w:val="toc 1"/>
    <w:basedOn w:val="Normal"/>
    <w:next w:val="Normal"/>
    <w:autoRedefine/>
    <w:uiPriority w:val="39"/>
    <w:rsid w:val="00DE4BFE"/>
    <w:pPr>
      <w:spacing w:after="100"/>
    </w:pPr>
    <w:rPr>
      <w:b/>
      <w:color w:val="000000"/>
    </w:rPr>
  </w:style>
  <w:style w:type="paragraph" w:styleId="TOC2">
    <w:name w:val="toc 2"/>
    <w:basedOn w:val="Normal"/>
    <w:next w:val="Normal"/>
    <w:autoRedefine/>
    <w:uiPriority w:val="39"/>
    <w:rsid w:val="00171B7B"/>
    <w:pPr>
      <w:spacing w:after="100"/>
      <w:ind w:left="240"/>
    </w:pPr>
    <w:rPr>
      <w:color w:val="000000"/>
    </w:rPr>
  </w:style>
  <w:style w:type="paragraph" w:styleId="TOC3">
    <w:name w:val="toc 3"/>
    <w:basedOn w:val="Normal"/>
    <w:next w:val="Normal"/>
    <w:autoRedefine/>
    <w:uiPriority w:val="39"/>
    <w:rsid w:val="00DE4BFE"/>
    <w:pPr>
      <w:spacing w:after="100"/>
      <w:ind w:left="480"/>
    </w:pPr>
    <w:rPr>
      <w:color w:val="000000"/>
    </w:r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95489"/>
          <w:left w:val="nil"/>
          <w:bottom w:val="single" w:sz="8" w:space="0" w:color="095489"/>
          <w:right w:val="nil"/>
          <w:insideH w:val="nil"/>
          <w:insideV w:val="nil"/>
        </w:tcBorders>
      </w:tcPr>
    </w:tblStylePr>
    <w:tblStylePr w:type="lastRow">
      <w:pPr>
        <w:spacing w:before="0" w:after="0" w:line="240" w:lineRule="auto"/>
      </w:pPr>
      <w:rPr>
        <w:b/>
        <w:bCs/>
      </w:rPr>
      <w:tblPr/>
      <w:tcPr>
        <w:tcBorders>
          <w:top w:val="single" w:sz="8" w:space="0" w:color="095489"/>
          <w:left w:val="nil"/>
          <w:bottom w:val="single" w:sz="8" w:space="0" w:color="09548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cPr>
    </w:tblStylePr>
    <w:tblStylePr w:type="band1Horz">
      <w:tblPr/>
      <w:tcPr>
        <w:tcBorders>
          <w:left w:val="nil"/>
          <w:right w:val="nil"/>
          <w:insideH w:val="nil"/>
          <w:insideV w:val="nil"/>
        </w:tcBorders>
        <w:shd w:val="clear" w:color="auto" w:fill="095489"/>
      </w:tcPr>
    </w:tblStylePr>
  </w:style>
  <w:style w:type="table" w:styleId="LightList-Accent1">
    <w:name w:val="Light List Accent 1"/>
    <w:basedOn w:val="TableNormal"/>
    <w:uiPriority w:val="61"/>
    <w:rsid w:val="001F68E9"/>
    <w:tblPr>
      <w:tblStyleRowBandSize w:val="1"/>
      <w:tblStyleColBandSize w:val="1"/>
      <w:tblBorders>
        <w:top w:val="single" w:sz="8" w:space="0" w:color="095489"/>
        <w:left w:val="single" w:sz="8" w:space="0" w:color="095489"/>
        <w:bottom w:val="single" w:sz="8" w:space="0" w:color="095489"/>
        <w:right w:val="single" w:sz="8" w:space="0" w:color="095489"/>
      </w:tblBorders>
    </w:tblPr>
    <w:tblStylePr w:type="firstRow">
      <w:pPr>
        <w:spacing w:before="0" w:after="0" w:line="240" w:lineRule="auto"/>
      </w:pPr>
      <w:rPr>
        <w:b/>
        <w:bCs/>
        <w:color w:val="FFFFFF"/>
      </w:rPr>
      <w:tblPr/>
      <w:tcPr>
        <w:shd w:val="clear" w:color="auto" w:fill="095489"/>
      </w:tcPr>
    </w:tblStylePr>
    <w:tblStylePr w:type="lastRow">
      <w:pPr>
        <w:spacing w:before="0" w:after="0" w:line="240" w:lineRule="auto"/>
      </w:pPr>
      <w:rPr>
        <w:b/>
        <w:bCs/>
      </w:rPr>
      <w:tblPr/>
      <w:tcPr>
        <w:tcBorders>
          <w:top w:val="double" w:sz="6" w:space="0" w:color="095489"/>
          <w:left w:val="single" w:sz="8" w:space="0" w:color="095489"/>
          <w:bottom w:val="single" w:sz="8" w:space="0" w:color="095489"/>
          <w:right w:val="single" w:sz="8" w:space="0" w:color="095489"/>
        </w:tcBorders>
      </w:tcPr>
    </w:tblStylePr>
    <w:tblStylePr w:type="firstCol">
      <w:rPr>
        <w:b/>
        <w:bCs/>
      </w:rPr>
    </w:tblStylePr>
    <w:tblStylePr w:type="lastCol">
      <w:rPr>
        <w:b/>
        <w:bCs/>
      </w:rPr>
    </w:tblStylePr>
    <w:tblStylePr w:type="band1Vert">
      <w:tblPr/>
      <w:tcPr>
        <w:tcBorders>
          <w:top w:val="single" w:sz="8" w:space="0" w:color="095489"/>
          <w:left w:val="single" w:sz="8" w:space="0" w:color="095489"/>
          <w:bottom w:val="single" w:sz="8" w:space="0" w:color="095489"/>
          <w:right w:val="single" w:sz="8" w:space="0" w:color="095489"/>
        </w:tcBorders>
      </w:tcPr>
    </w:tblStylePr>
    <w:tblStylePr w:type="band1Horz">
      <w:tblPr/>
      <w:tcPr>
        <w:tcBorders>
          <w:top w:val="single" w:sz="8" w:space="0" w:color="095489"/>
          <w:left w:val="single" w:sz="8" w:space="0" w:color="095489"/>
          <w:bottom w:val="single" w:sz="8" w:space="0" w:color="095489"/>
          <w:right w:val="single" w:sz="8" w:space="0" w:color="095489"/>
        </w:tcBorders>
      </w:tcPr>
    </w:tblStylePr>
  </w:style>
  <w:style w:type="table" w:styleId="LightShading-Accent1">
    <w:name w:val="Light Shading Accent 1"/>
    <w:basedOn w:val="TableNormal"/>
    <w:uiPriority w:val="60"/>
    <w:rsid w:val="001F68E9"/>
    <w:rPr>
      <w:color w:val="063E66"/>
    </w:rPr>
    <w:tblPr>
      <w:tblStyleRowBandSize w:val="1"/>
      <w:tblStyleColBandSize w:val="1"/>
      <w:tblBorders>
        <w:top w:val="single" w:sz="8" w:space="0" w:color="095489"/>
        <w:bottom w:val="single" w:sz="8" w:space="0" w:color="095489"/>
      </w:tblBorders>
    </w:tblPr>
    <w:tblStylePr w:type="firstRow">
      <w:pPr>
        <w:spacing w:before="0" w:after="0" w:line="240" w:lineRule="auto"/>
      </w:pPr>
      <w:rPr>
        <w:b/>
        <w:bCs/>
      </w:rPr>
      <w:tblPr/>
      <w:tcPr>
        <w:tcBorders>
          <w:top w:val="single" w:sz="8" w:space="0" w:color="095489"/>
          <w:left w:val="nil"/>
          <w:bottom w:val="single" w:sz="8" w:space="0" w:color="095489"/>
          <w:right w:val="nil"/>
          <w:insideH w:val="nil"/>
          <w:insideV w:val="nil"/>
        </w:tcBorders>
      </w:tcPr>
    </w:tblStylePr>
    <w:tblStylePr w:type="lastRow">
      <w:pPr>
        <w:spacing w:before="0" w:after="0" w:line="240" w:lineRule="auto"/>
      </w:pPr>
      <w:rPr>
        <w:b/>
        <w:bCs/>
      </w:rPr>
      <w:tblPr/>
      <w:tcPr>
        <w:tcBorders>
          <w:top w:val="single" w:sz="8" w:space="0" w:color="095489"/>
          <w:left w:val="nil"/>
          <w:bottom w:val="single" w:sz="8" w:space="0" w:color="09548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cPr>
    </w:tblStylePr>
    <w:tblStylePr w:type="band1Horz">
      <w:tblPr/>
      <w:tcPr>
        <w:tcBorders>
          <w:left w:val="nil"/>
          <w:right w:val="nil"/>
          <w:insideH w:val="nil"/>
          <w:insideV w:val="nil"/>
        </w:tcBorders>
        <w:shd w:val="clear" w:color="auto" w:fill="AAD8F9"/>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95489"/>
      </w:tcPr>
    </w:tblStylePr>
    <w:tblStylePr w:type="lastRow">
      <w:pPr>
        <w:spacing w:before="0" w:after="0" w:line="240" w:lineRule="auto"/>
      </w:pPr>
      <w:rPr>
        <w:b/>
        <w:bCs/>
      </w:rPr>
      <w:tblPr/>
      <w:tcPr>
        <w:tcBorders>
          <w:top w:val="double" w:sz="6" w:space="0" w:color="095489"/>
          <w:left w:val="single" w:sz="8" w:space="0" w:color="095489"/>
          <w:bottom w:val="single" w:sz="8" w:space="0" w:color="095489"/>
          <w:right w:val="single" w:sz="8" w:space="0" w:color="095489"/>
        </w:tcBorders>
      </w:tcPr>
    </w:tblStylePr>
    <w:tblStylePr w:type="firstCol">
      <w:rPr>
        <w:b/>
        <w:bCs/>
      </w:rPr>
    </w:tblStylePr>
    <w:tblStylePr w:type="lastCol">
      <w:rPr>
        <w:b/>
        <w:bCs/>
      </w:rPr>
    </w:tblStylePr>
    <w:tblStylePr w:type="band1Vert">
      <w:tblPr/>
      <w:tcPr>
        <w:tcBorders>
          <w:top w:val="single" w:sz="8" w:space="0" w:color="095489"/>
          <w:left w:val="single" w:sz="8" w:space="0" w:color="095489"/>
          <w:bottom w:val="single" w:sz="8" w:space="0" w:color="095489"/>
          <w:right w:val="single" w:sz="8" w:space="0" w:color="095489"/>
        </w:tcBorders>
      </w:tcPr>
    </w:tblStylePr>
    <w:tblStylePr w:type="band1Horz">
      <w:tblPr/>
      <w:tcPr>
        <w:tcBorders>
          <w:top w:val="single" w:sz="8" w:space="0" w:color="095489"/>
          <w:left w:val="single" w:sz="8" w:space="0" w:color="095489"/>
          <w:bottom w:val="single" w:sz="8" w:space="0" w:color="095489"/>
          <w:right w:val="single" w:sz="8" w:space="0" w:color="095489"/>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95489"/>
        <w:left w:val="single" w:sz="8" w:space="0" w:color="095489"/>
        <w:bottom w:val="single" w:sz="8" w:space="0" w:color="095489"/>
        <w:right w:val="single" w:sz="8" w:space="0" w:color="095489"/>
        <w:insideH w:val="single" w:sz="8" w:space="0" w:color="095489"/>
        <w:insideV w:val="single" w:sz="8" w:space="0" w:color="095489"/>
      </w:tblBorders>
    </w:tblPr>
    <w:tblStylePr w:type="firstRow">
      <w:pPr>
        <w:spacing w:before="0" w:after="0" w:line="240" w:lineRule="auto"/>
      </w:pPr>
      <w:rPr>
        <w:rFonts w:ascii="Cambria" w:eastAsia="Times New Roman" w:hAnsi="Cambria" w:cs="Times New Roman"/>
        <w:b/>
        <w:bCs/>
      </w:rPr>
      <w:tblPr/>
      <w:tcPr>
        <w:tcBorders>
          <w:top w:val="single" w:sz="8" w:space="0" w:color="095489"/>
          <w:left w:val="single" w:sz="8" w:space="0" w:color="095489"/>
          <w:bottom w:val="single" w:sz="18" w:space="0" w:color="095489"/>
          <w:right w:val="single" w:sz="8" w:space="0" w:color="095489"/>
          <w:insideH w:val="nil"/>
          <w:insideV w:val="single" w:sz="8" w:space="0" w:color="095489"/>
        </w:tcBorders>
      </w:tcPr>
    </w:tblStylePr>
    <w:tblStylePr w:type="lastRow">
      <w:pPr>
        <w:spacing w:before="0" w:after="0" w:line="240" w:lineRule="auto"/>
      </w:pPr>
      <w:rPr>
        <w:rFonts w:ascii="Cambria" w:eastAsia="Times New Roman" w:hAnsi="Cambria" w:cs="Times New Roman"/>
        <w:b/>
        <w:bCs/>
      </w:rPr>
      <w:tblPr/>
      <w:tcPr>
        <w:tcBorders>
          <w:top w:val="double" w:sz="6" w:space="0" w:color="095489"/>
          <w:left w:val="single" w:sz="8" w:space="0" w:color="095489"/>
          <w:bottom w:val="single" w:sz="8" w:space="0" w:color="095489"/>
          <w:right w:val="single" w:sz="8" w:space="0" w:color="095489"/>
          <w:insideH w:val="nil"/>
          <w:insideV w:val="single" w:sz="8" w:space="0" w:color="09548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95489"/>
          <w:left w:val="single" w:sz="8" w:space="0" w:color="095489"/>
          <w:bottom w:val="single" w:sz="8" w:space="0" w:color="095489"/>
          <w:right w:val="single" w:sz="8" w:space="0" w:color="095489"/>
        </w:tcBorders>
      </w:tcPr>
    </w:tblStylePr>
    <w:tblStylePr w:type="band1Vert">
      <w:tblPr/>
      <w:tcPr>
        <w:tcBorders>
          <w:top w:val="single" w:sz="8" w:space="0" w:color="095489"/>
          <w:left w:val="single" w:sz="8" w:space="0" w:color="095489"/>
          <w:bottom w:val="single" w:sz="8" w:space="0" w:color="095489"/>
          <w:right w:val="single" w:sz="8" w:space="0" w:color="095489"/>
        </w:tcBorders>
        <w:shd w:val="clear" w:color="auto" w:fill="AAD8F9"/>
      </w:tcPr>
    </w:tblStylePr>
    <w:tblStylePr w:type="band1Horz">
      <w:tblPr/>
      <w:tcPr>
        <w:tcBorders>
          <w:top w:val="single" w:sz="8" w:space="0" w:color="095489"/>
          <w:left w:val="single" w:sz="8" w:space="0" w:color="095489"/>
          <w:bottom w:val="single" w:sz="8" w:space="0" w:color="095489"/>
          <w:right w:val="single" w:sz="8" w:space="0" w:color="095489"/>
          <w:insideV w:val="single" w:sz="8" w:space="0" w:color="095489"/>
        </w:tcBorders>
        <w:shd w:val="clear" w:color="auto" w:fill="AAD8F9"/>
      </w:tcPr>
    </w:tblStylePr>
    <w:tblStylePr w:type="band2Horz">
      <w:tblPr/>
      <w:tcPr>
        <w:tcBorders>
          <w:top w:val="single" w:sz="8" w:space="0" w:color="095489"/>
          <w:left w:val="single" w:sz="8" w:space="0" w:color="095489"/>
          <w:bottom w:val="single" w:sz="8" w:space="0" w:color="095489"/>
          <w:right w:val="single" w:sz="8" w:space="0" w:color="095489"/>
          <w:insideV w:val="single" w:sz="8" w:space="0" w:color="095489"/>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w:eastAsia="Times New Roman" w:hAnsi="Cambria" w:cs="Times New Roman"/>
        <w:b/>
        <w:bCs/>
      </w:rPr>
      <w:tblPr/>
      <w:trPr>
        <w:tblHeader/>
      </w:trPr>
      <w:tcPr>
        <w:tcBorders>
          <w:top w:val="single" w:sz="8" w:space="0" w:color="095489"/>
          <w:left w:val="single" w:sz="8" w:space="0" w:color="095489"/>
          <w:bottom w:val="single" w:sz="18" w:space="0" w:color="095489"/>
          <w:right w:val="single" w:sz="8" w:space="0" w:color="095489"/>
          <w:insideH w:val="nil"/>
          <w:insideV w:val="single" w:sz="8" w:space="0" w:color="095489"/>
        </w:tcBorders>
      </w:tcPr>
    </w:tblStylePr>
    <w:tblStylePr w:type="lastRow">
      <w:pPr>
        <w:spacing w:before="0" w:after="0" w:line="240" w:lineRule="auto"/>
      </w:pPr>
      <w:rPr>
        <w:rFonts w:ascii="Cambria" w:eastAsia="Times New Roman" w:hAnsi="Cambria" w:cs="Times New Roman"/>
        <w:b/>
        <w:bCs/>
      </w:rPr>
      <w:tblPr/>
      <w:tcPr>
        <w:tcBorders>
          <w:top w:val="double" w:sz="6" w:space="0" w:color="095489"/>
          <w:left w:val="single" w:sz="8" w:space="0" w:color="095489"/>
          <w:bottom w:val="single" w:sz="8" w:space="0" w:color="095489"/>
          <w:right w:val="single" w:sz="8" w:space="0" w:color="095489"/>
          <w:insideH w:val="nil"/>
          <w:insideV w:val="single" w:sz="8" w:space="0" w:color="09548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95489"/>
          <w:left w:val="single" w:sz="8" w:space="0" w:color="095489"/>
          <w:bottom w:val="single" w:sz="8" w:space="0" w:color="095489"/>
          <w:right w:val="single" w:sz="8" w:space="0" w:color="095489"/>
        </w:tcBorders>
      </w:tcPr>
    </w:tblStylePr>
    <w:tblStylePr w:type="band1Vert">
      <w:tblPr/>
      <w:tcPr>
        <w:tcBorders>
          <w:top w:val="single" w:sz="8" w:space="0" w:color="095489"/>
          <w:left w:val="single" w:sz="8" w:space="0" w:color="095489"/>
          <w:bottom w:val="single" w:sz="8" w:space="0" w:color="095489"/>
          <w:right w:val="single" w:sz="8" w:space="0" w:color="095489"/>
        </w:tcBorders>
        <w:shd w:val="clear" w:color="auto" w:fill="AAD8F9"/>
      </w:tcPr>
    </w:tblStylePr>
    <w:tblStylePr w:type="band1Horz">
      <w:tblPr/>
      <w:tcPr>
        <w:tcBorders>
          <w:top w:val="single" w:sz="8" w:space="0" w:color="095489"/>
          <w:left w:val="single" w:sz="8" w:space="0" w:color="095489"/>
          <w:bottom w:val="single" w:sz="8" w:space="0" w:color="095489"/>
          <w:right w:val="single" w:sz="8" w:space="0" w:color="095489"/>
          <w:insideV w:val="single" w:sz="8" w:space="0" w:color="095489"/>
        </w:tcBorders>
        <w:shd w:val="clear" w:color="auto" w:fill="095489"/>
      </w:tcPr>
    </w:tblStylePr>
    <w:tblStylePr w:type="band2Horz">
      <w:tblPr/>
      <w:tcPr>
        <w:tcBorders>
          <w:top w:val="single" w:sz="8" w:space="0" w:color="095489"/>
          <w:left w:val="single" w:sz="8" w:space="0" w:color="095489"/>
          <w:bottom w:val="single" w:sz="8" w:space="0" w:color="095489"/>
          <w:right w:val="single" w:sz="8" w:space="0" w:color="095489"/>
          <w:insideV w:val="single" w:sz="8" w:space="0" w:color="095489"/>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E88DE"/>
        <w:left w:val="single" w:sz="8" w:space="0" w:color="0E88DE"/>
        <w:bottom w:val="single" w:sz="8" w:space="0" w:color="0E88DE"/>
        <w:right w:val="single" w:sz="8" w:space="0" w:color="0E88DE"/>
        <w:insideH w:val="single" w:sz="8" w:space="0" w:color="0E88DE"/>
      </w:tblBorders>
    </w:tblPr>
    <w:tblStylePr w:type="firstRow">
      <w:pPr>
        <w:spacing w:before="0" w:after="0" w:line="240" w:lineRule="auto"/>
      </w:pPr>
      <w:rPr>
        <w:b/>
        <w:bCs/>
        <w:color w:val="FFFFFF"/>
      </w:rPr>
      <w:tblPr/>
      <w:tcPr>
        <w:tcBorders>
          <w:top w:val="single" w:sz="8" w:space="0" w:color="0E88DE"/>
          <w:left w:val="single" w:sz="8" w:space="0" w:color="0E88DE"/>
          <w:bottom w:val="single" w:sz="8" w:space="0" w:color="0E88DE"/>
          <w:right w:val="single" w:sz="8" w:space="0" w:color="0E88DE"/>
          <w:insideH w:val="nil"/>
          <w:insideV w:val="nil"/>
        </w:tcBorders>
        <w:shd w:val="clear" w:color="auto" w:fill="095489"/>
      </w:tcPr>
    </w:tblStylePr>
    <w:tblStylePr w:type="lastRow">
      <w:pPr>
        <w:spacing w:before="0" w:after="0" w:line="240" w:lineRule="auto"/>
      </w:pPr>
      <w:rPr>
        <w:b/>
        <w:bCs/>
      </w:rPr>
      <w:tblPr/>
      <w:tcPr>
        <w:tcBorders>
          <w:top w:val="double" w:sz="6" w:space="0" w:color="0E88DE"/>
          <w:left w:val="single" w:sz="8" w:space="0" w:color="0E88DE"/>
          <w:bottom w:val="single" w:sz="8" w:space="0" w:color="0E88DE"/>
          <w:right w:val="single" w:sz="8" w:space="0" w:color="0E88DE"/>
          <w:insideH w:val="nil"/>
          <w:insideV w:val="nil"/>
        </w:tcBorders>
      </w:tcPr>
    </w:tblStylePr>
    <w:tblStylePr w:type="firstCol">
      <w:rPr>
        <w:b/>
        <w:bCs/>
      </w:rPr>
    </w:tblStylePr>
    <w:tblStylePr w:type="lastCol">
      <w:rPr>
        <w:b/>
        <w:bCs/>
      </w:rPr>
    </w:tblStylePr>
    <w:tblStylePr w:type="band1Vert">
      <w:tblPr/>
      <w:tcPr>
        <w:shd w:val="clear" w:color="auto" w:fill="AAD8F9"/>
      </w:tcPr>
    </w:tblStylePr>
    <w:tblStylePr w:type="band1Horz">
      <w:tblPr/>
      <w:tcPr>
        <w:tcBorders>
          <w:insideH w:val="nil"/>
          <w:insideV w:val="nil"/>
        </w:tcBorders>
        <w:shd w:val="clear" w:color="auto" w:fill="AAD8F9"/>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E88DE"/>
          <w:left w:val="single" w:sz="8" w:space="0" w:color="0E88DE"/>
          <w:bottom w:val="single" w:sz="8" w:space="0" w:color="0E88DE"/>
          <w:right w:val="single" w:sz="8" w:space="0" w:color="0E88DE"/>
          <w:insideH w:val="nil"/>
          <w:insideV w:val="nil"/>
        </w:tcBorders>
        <w:shd w:val="clear" w:color="auto" w:fill="095489"/>
      </w:tcPr>
    </w:tblStylePr>
    <w:tblStylePr w:type="lastRow">
      <w:pPr>
        <w:spacing w:before="0" w:after="0" w:line="240" w:lineRule="auto"/>
      </w:pPr>
      <w:rPr>
        <w:b/>
        <w:bCs/>
      </w:rPr>
      <w:tblPr/>
      <w:tcPr>
        <w:tcBorders>
          <w:top w:val="double" w:sz="6" w:space="0" w:color="0E88DE"/>
          <w:left w:val="single" w:sz="8" w:space="0" w:color="0E88DE"/>
          <w:bottom w:val="single" w:sz="8" w:space="0" w:color="0E88DE"/>
          <w:right w:val="single" w:sz="8" w:space="0" w:color="0E88DE"/>
          <w:insideH w:val="nil"/>
          <w:insideV w:val="nil"/>
        </w:tcBorders>
      </w:tcPr>
    </w:tblStylePr>
    <w:tblStylePr w:type="firstCol">
      <w:rPr>
        <w:b/>
        <w:bCs/>
      </w:rPr>
    </w:tblStylePr>
    <w:tblStylePr w:type="lastCol">
      <w:rPr>
        <w:b/>
        <w:bCs/>
      </w:rPr>
    </w:tblStylePr>
    <w:tblStylePr w:type="band1Vert">
      <w:tblPr/>
      <w:tcPr>
        <w:shd w:val="clear" w:color="auto" w:fill="AAD8F9"/>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095489"/>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95489"/>
        <w:bottom w:val="single" w:sz="8" w:space="0" w:color="095489"/>
      </w:tblBorders>
    </w:tblPr>
    <w:tblStylePr w:type="firstRow">
      <w:rPr>
        <w:rFonts w:ascii="Cambria" w:eastAsia="Times New Roman" w:hAnsi="Cambria" w:cs="Times New Roman"/>
      </w:rPr>
      <w:tblPr/>
      <w:tcPr>
        <w:tcBorders>
          <w:top w:val="nil"/>
          <w:bottom w:val="single" w:sz="8" w:space="0" w:color="095489"/>
        </w:tcBorders>
      </w:tcPr>
    </w:tblStylePr>
    <w:tblStylePr w:type="lastRow">
      <w:rPr>
        <w:b/>
        <w:bCs/>
        <w:color w:val="757477"/>
      </w:rPr>
      <w:tblPr/>
      <w:tcPr>
        <w:tcBorders>
          <w:top w:val="single" w:sz="8" w:space="0" w:color="095489"/>
          <w:bottom w:val="single" w:sz="8" w:space="0" w:color="095489"/>
        </w:tcBorders>
      </w:tcPr>
    </w:tblStylePr>
    <w:tblStylePr w:type="firstCol">
      <w:rPr>
        <w:b/>
        <w:bCs/>
      </w:rPr>
    </w:tblStylePr>
    <w:tblStylePr w:type="lastCol">
      <w:rPr>
        <w:b/>
        <w:bCs/>
      </w:rPr>
      <w:tblPr/>
      <w:tcPr>
        <w:tcBorders>
          <w:top w:val="single" w:sz="8" w:space="0" w:color="095489"/>
          <w:bottom w:val="single" w:sz="8" w:space="0" w:color="095489"/>
        </w:tcBorders>
      </w:tcPr>
    </w:tblStylePr>
    <w:tblStylePr w:type="band1Vert">
      <w:tblPr/>
      <w:tcPr>
        <w:shd w:val="clear" w:color="auto" w:fill="AAD8F9"/>
      </w:tcPr>
    </w:tblStylePr>
    <w:tblStylePr w:type="band1Horz">
      <w:tblPr/>
      <w:tcPr>
        <w:shd w:val="clear" w:color="auto" w:fill="AAD8F9"/>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w:eastAsia="Times New Roman" w:hAnsi="Cambria" w:cs="Times New Roman"/>
      </w:rPr>
      <w:tblPr/>
      <w:trPr>
        <w:tblHeader/>
      </w:trPr>
      <w:tcPr>
        <w:tcBorders>
          <w:top w:val="nil"/>
          <w:bottom w:val="single" w:sz="8" w:space="0" w:color="095489"/>
        </w:tcBorders>
      </w:tcPr>
    </w:tblStylePr>
    <w:tblStylePr w:type="lastRow">
      <w:rPr>
        <w:b/>
        <w:bCs/>
        <w:color w:val="757477"/>
      </w:rPr>
      <w:tblPr/>
      <w:tcPr>
        <w:tcBorders>
          <w:top w:val="single" w:sz="8" w:space="0" w:color="095489"/>
          <w:bottom w:val="single" w:sz="8" w:space="0" w:color="095489"/>
        </w:tcBorders>
      </w:tcPr>
    </w:tblStylePr>
    <w:tblStylePr w:type="firstCol">
      <w:rPr>
        <w:b/>
        <w:bCs/>
      </w:rPr>
    </w:tblStylePr>
    <w:tblStylePr w:type="lastCol">
      <w:rPr>
        <w:b/>
        <w:bCs/>
      </w:rPr>
      <w:tblPr/>
      <w:tcPr>
        <w:tcBorders>
          <w:top w:val="single" w:sz="8" w:space="0" w:color="095489"/>
          <w:bottom w:val="single" w:sz="8" w:space="0" w:color="095489"/>
        </w:tcBorders>
      </w:tcPr>
    </w:tblStylePr>
    <w:tblStylePr w:type="band1Vert">
      <w:tblPr/>
      <w:tcPr>
        <w:shd w:val="clear" w:color="auto" w:fill="AAD8F9"/>
      </w:tcPr>
    </w:tblStylePr>
    <w:tblStylePr w:type="band1Horz">
      <w:tblPr/>
      <w:tcPr>
        <w:shd w:val="clear" w:color="auto" w:fill="095489"/>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095489"/>
          <w:right w:val="nil"/>
          <w:insideH w:val="nil"/>
          <w:insideV w:val="nil"/>
        </w:tcBorders>
        <w:shd w:val="clear" w:color="auto" w:fill="FFFFFF"/>
      </w:tcPr>
    </w:tblStylePr>
    <w:tblStylePr w:type="lastRow">
      <w:tblPr/>
      <w:tcPr>
        <w:tcBorders>
          <w:top w:val="single" w:sz="8" w:space="0" w:color="095489"/>
          <w:left w:val="nil"/>
          <w:bottom w:val="nil"/>
          <w:right w:val="nil"/>
          <w:insideH w:val="nil"/>
          <w:insideV w:val="nil"/>
        </w:tcBorders>
        <w:shd w:val="clear" w:color="auto" w:fill="FFFFFF"/>
      </w:tcPr>
    </w:tblStylePr>
    <w:tblStylePr w:type="firstCol">
      <w:tblPr/>
      <w:tcPr>
        <w:tcBorders>
          <w:top w:val="nil"/>
          <w:left w:val="nil"/>
          <w:bottom w:val="nil"/>
          <w:right w:val="single" w:sz="8" w:space="0" w:color="095489"/>
          <w:insideH w:val="nil"/>
          <w:insideV w:val="nil"/>
        </w:tcBorders>
        <w:shd w:val="clear" w:color="auto" w:fill="FFFFFF"/>
      </w:tcPr>
    </w:tblStylePr>
    <w:tblStylePr w:type="lastCol">
      <w:tblPr/>
      <w:tcPr>
        <w:tcBorders>
          <w:top w:val="nil"/>
          <w:left w:val="single" w:sz="8" w:space="0" w:color="09548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AD8F9"/>
      </w:tcPr>
    </w:tblStylePr>
    <w:tblStylePr w:type="band1Horz">
      <w:tblPr/>
      <w:tcPr>
        <w:tcBorders>
          <w:top w:val="nil"/>
          <w:bottom w:val="nil"/>
          <w:insideH w:val="nil"/>
          <w:insideV w:val="nil"/>
        </w:tcBorders>
        <w:shd w:val="clear" w:color="auto" w:fill="095489"/>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95489"/>
        <w:left w:val="single" w:sz="8" w:space="0" w:color="095489"/>
        <w:bottom w:val="single" w:sz="8" w:space="0" w:color="095489"/>
        <w:right w:val="single" w:sz="8" w:space="0" w:color="095489"/>
      </w:tblBorders>
    </w:tblPr>
    <w:tblStylePr w:type="firstRow">
      <w:rPr>
        <w:sz w:val="24"/>
        <w:szCs w:val="24"/>
      </w:rPr>
      <w:tblPr/>
      <w:tcPr>
        <w:tcBorders>
          <w:top w:val="nil"/>
          <w:left w:val="nil"/>
          <w:bottom w:val="single" w:sz="24" w:space="0" w:color="095489"/>
          <w:right w:val="nil"/>
          <w:insideH w:val="nil"/>
          <w:insideV w:val="nil"/>
        </w:tcBorders>
        <w:shd w:val="clear" w:color="auto" w:fill="FFFFFF"/>
      </w:tcPr>
    </w:tblStylePr>
    <w:tblStylePr w:type="lastRow">
      <w:tblPr/>
      <w:tcPr>
        <w:tcBorders>
          <w:top w:val="single" w:sz="8" w:space="0" w:color="095489"/>
          <w:left w:val="nil"/>
          <w:bottom w:val="nil"/>
          <w:right w:val="nil"/>
          <w:insideH w:val="nil"/>
          <w:insideV w:val="nil"/>
        </w:tcBorders>
        <w:shd w:val="clear" w:color="auto" w:fill="FFFFFF"/>
      </w:tcPr>
    </w:tblStylePr>
    <w:tblStylePr w:type="firstCol">
      <w:tblPr/>
      <w:tcPr>
        <w:tcBorders>
          <w:top w:val="nil"/>
          <w:left w:val="nil"/>
          <w:bottom w:val="nil"/>
          <w:right w:val="single" w:sz="8" w:space="0" w:color="095489"/>
          <w:insideH w:val="nil"/>
          <w:insideV w:val="nil"/>
        </w:tcBorders>
        <w:shd w:val="clear" w:color="auto" w:fill="FFFFFF"/>
      </w:tcPr>
    </w:tblStylePr>
    <w:tblStylePr w:type="lastCol">
      <w:tblPr/>
      <w:tcPr>
        <w:tcBorders>
          <w:top w:val="nil"/>
          <w:left w:val="single" w:sz="8" w:space="0" w:color="09548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AD8F9"/>
      </w:tcPr>
    </w:tblStylePr>
    <w:tblStylePr w:type="band1Horz">
      <w:tblPr/>
      <w:tcPr>
        <w:tcBorders>
          <w:top w:val="nil"/>
          <w:bottom w:val="nil"/>
          <w:insideH w:val="nil"/>
          <w:insideV w:val="nil"/>
        </w:tcBorders>
        <w:shd w:val="clear" w:color="auto" w:fill="AAD8F9"/>
      </w:tcPr>
    </w:tblStylePr>
    <w:tblStylePr w:type="nwCell">
      <w:tblPr/>
      <w:tcPr>
        <w:shd w:val="clear" w:color="auto" w:fill="FFFFFF"/>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link w:val="Header"/>
    <w:uiPriority w:val="99"/>
    <w:semiHidden/>
    <w:rsid w:val="0013662A"/>
    <w:rPr>
      <w:rFonts w:ascii="Arial" w:hAnsi="Arial"/>
      <w:sz w:val="24"/>
    </w:rPr>
  </w:style>
  <w:style w:type="paragraph" w:styleId="Footer">
    <w:name w:val="footer"/>
    <w:basedOn w:val="Normal"/>
    <w:link w:val="FooterChar"/>
    <w:uiPriority w:val="99"/>
    <w:rsid w:val="0013662A"/>
    <w:pPr>
      <w:tabs>
        <w:tab w:val="center" w:pos="4513"/>
        <w:tab w:val="right" w:pos="9026"/>
      </w:tabs>
      <w:spacing w:after="0"/>
    </w:pPr>
  </w:style>
  <w:style w:type="character" w:customStyle="1" w:styleId="FooterChar">
    <w:name w:val="Footer Char"/>
    <w:link w:val="Footer"/>
    <w:uiPriority w:val="99"/>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PlaceholderText">
    <w:name w:val="Placeholder Text"/>
    <w:uiPriority w:val="99"/>
    <w:semiHidden/>
    <w:rsid w:val="00882643"/>
    <w:rPr>
      <w:color w:val="808080"/>
    </w:rPr>
  </w:style>
  <w:style w:type="table" w:customStyle="1" w:styleId="TableGrid1">
    <w:name w:val="Table Grid1"/>
    <w:basedOn w:val="TableNormal"/>
    <w:next w:val="TableGrid"/>
    <w:uiPriority w:val="59"/>
    <w:rsid w:val="00B6303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B63039"/>
    <w:pPr>
      <w:spacing w:after="170"/>
    </w:pPr>
    <w:rPr>
      <w:rFonts w:ascii="Arial" w:hAnsi="Arial"/>
      <w:sz w:val="24"/>
      <w:szCs w:val="22"/>
      <w:lang w:eastAsia="en-US"/>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imes New Roman"/>
      <w:bCs/>
      <w:color w:val="095489"/>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imes New Roman"/>
      <w:b/>
      <w:bCs/>
      <w:color w:val="095489"/>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imes New Roman"/>
      <w:b/>
      <w:bCs/>
      <w:color w:val="095489"/>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imes New Roman"/>
      <w:b/>
      <w:bCs/>
      <w:iCs/>
      <w:color w:val="757477"/>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rsid w:val="004C2780"/>
    <w:pPr>
      <w:spacing w:before="240" w:after="660"/>
    </w:pPr>
    <w:rPr>
      <w:b/>
      <w:color w:val="000000"/>
      <w:sz w:val="60"/>
    </w:rPr>
  </w:style>
  <w:style w:type="paragraph" w:customStyle="1" w:styleId="Subheadlines">
    <w:name w:val="Sub headlines"/>
    <w:basedOn w:val="Normal"/>
    <w:next w:val="Normal"/>
    <w:rsid w:val="00171B7B"/>
    <w:rPr>
      <w:b/>
      <w:color w:val="000000"/>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753150"/>
    <w:rPr>
      <w:rFonts w:ascii="Arial" w:eastAsia="Times New Roman" w:hAnsi="Arial" w:cs="Times New Roman"/>
      <w:bCs/>
      <w:color w:val="095489"/>
      <w:sz w:val="64"/>
      <w:szCs w:val="28"/>
    </w:rPr>
  </w:style>
  <w:style w:type="character" w:customStyle="1" w:styleId="Heading2Char">
    <w:name w:val="Heading 2 Char"/>
    <w:link w:val="Heading2"/>
    <w:uiPriority w:val="9"/>
    <w:rsid w:val="002E5F5B"/>
    <w:rPr>
      <w:rFonts w:ascii="Arial" w:eastAsia="Times New Roman" w:hAnsi="Arial" w:cs="Times New Roman"/>
      <w:b/>
      <w:bCs/>
      <w:color w:val="095489"/>
      <w:sz w:val="30"/>
      <w:szCs w:val="26"/>
    </w:rPr>
  </w:style>
  <w:style w:type="character" w:customStyle="1" w:styleId="Heading3Char">
    <w:name w:val="Heading 3 Char"/>
    <w:link w:val="Heading3"/>
    <w:uiPriority w:val="9"/>
    <w:rsid w:val="0013662A"/>
    <w:rPr>
      <w:rFonts w:ascii="Arial" w:eastAsia="Times New Roman" w:hAnsi="Arial" w:cs="Times New Roman"/>
      <w:b/>
      <w:bCs/>
      <w:color w:val="095489"/>
      <w:sz w:val="26"/>
    </w:rPr>
  </w:style>
  <w:style w:type="character" w:customStyle="1" w:styleId="Heading4Char">
    <w:name w:val="Heading 4 Char"/>
    <w:link w:val="Heading4"/>
    <w:uiPriority w:val="9"/>
    <w:rsid w:val="00171B7B"/>
    <w:rPr>
      <w:rFonts w:ascii="Arial" w:eastAsia="Times New Roman" w:hAnsi="Arial" w:cs="Times New Roman"/>
      <w:b/>
      <w:bCs/>
      <w:iCs/>
      <w:color w:val="757477"/>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Cambria" w:hAnsi="Cambria"/>
      <w:color w:val="063E66"/>
      <w:sz w:val="28"/>
      <w:lang w:val="en-US" w:eastAsia="ja-JP"/>
    </w:rPr>
  </w:style>
  <w:style w:type="paragraph" w:styleId="TOC1">
    <w:name w:val="toc 1"/>
    <w:basedOn w:val="Normal"/>
    <w:next w:val="Normal"/>
    <w:autoRedefine/>
    <w:uiPriority w:val="39"/>
    <w:rsid w:val="00DE4BFE"/>
    <w:pPr>
      <w:spacing w:after="100"/>
    </w:pPr>
    <w:rPr>
      <w:b/>
      <w:color w:val="000000"/>
    </w:rPr>
  </w:style>
  <w:style w:type="paragraph" w:styleId="TOC2">
    <w:name w:val="toc 2"/>
    <w:basedOn w:val="Normal"/>
    <w:next w:val="Normal"/>
    <w:autoRedefine/>
    <w:uiPriority w:val="39"/>
    <w:rsid w:val="00171B7B"/>
    <w:pPr>
      <w:spacing w:after="100"/>
      <w:ind w:left="240"/>
    </w:pPr>
    <w:rPr>
      <w:color w:val="000000"/>
    </w:rPr>
  </w:style>
  <w:style w:type="paragraph" w:styleId="TOC3">
    <w:name w:val="toc 3"/>
    <w:basedOn w:val="Normal"/>
    <w:next w:val="Normal"/>
    <w:autoRedefine/>
    <w:uiPriority w:val="39"/>
    <w:rsid w:val="00DE4BFE"/>
    <w:pPr>
      <w:spacing w:after="100"/>
      <w:ind w:left="480"/>
    </w:pPr>
    <w:rPr>
      <w:color w:val="000000"/>
    </w:r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95489"/>
          <w:left w:val="nil"/>
          <w:bottom w:val="single" w:sz="8" w:space="0" w:color="095489"/>
          <w:right w:val="nil"/>
          <w:insideH w:val="nil"/>
          <w:insideV w:val="nil"/>
        </w:tcBorders>
      </w:tcPr>
    </w:tblStylePr>
    <w:tblStylePr w:type="lastRow">
      <w:pPr>
        <w:spacing w:before="0" w:after="0" w:line="240" w:lineRule="auto"/>
      </w:pPr>
      <w:rPr>
        <w:b/>
        <w:bCs/>
      </w:rPr>
      <w:tblPr/>
      <w:tcPr>
        <w:tcBorders>
          <w:top w:val="single" w:sz="8" w:space="0" w:color="095489"/>
          <w:left w:val="nil"/>
          <w:bottom w:val="single" w:sz="8" w:space="0" w:color="09548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cPr>
    </w:tblStylePr>
    <w:tblStylePr w:type="band1Horz">
      <w:tblPr/>
      <w:tcPr>
        <w:tcBorders>
          <w:left w:val="nil"/>
          <w:right w:val="nil"/>
          <w:insideH w:val="nil"/>
          <w:insideV w:val="nil"/>
        </w:tcBorders>
        <w:shd w:val="clear" w:color="auto" w:fill="095489"/>
      </w:tcPr>
    </w:tblStylePr>
  </w:style>
  <w:style w:type="table" w:styleId="LightList-Accent1">
    <w:name w:val="Light List Accent 1"/>
    <w:basedOn w:val="TableNormal"/>
    <w:uiPriority w:val="61"/>
    <w:rsid w:val="001F68E9"/>
    <w:tblPr>
      <w:tblStyleRowBandSize w:val="1"/>
      <w:tblStyleColBandSize w:val="1"/>
      <w:tblBorders>
        <w:top w:val="single" w:sz="8" w:space="0" w:color="095489"/>
        <w:left w:val="single" w:sz="8" w:space="0" w:color="095489"/>
        <w:bottom w:val="single" w:sz="8" w:space="0" w:color="095489"/>
        <w:right w:val="single" w:sz="8" w:space="0" w:color="095489"/>
      </w:tblBorders>
    </w:tblPr>
    <w:tblStylePr w:type="firstRow">
      <w:pPr>
        <w:spacing w:before="0" w:after="0" w:line="240" w:lineRule="auto"/>
      </w:pPr>
      <w:rPr>
        <w:b/>
        <w:bCs/>
        <w:color w:val="FFFFFF"/>
      </w:rPr>
      <w:tblPr/>
      <w:tcPr>
        <w:shd w:val="clear" w:color="auto" w:fill="095489"/>
      </w:tcPr>
    </w:tblStylePr>
    <w:tblStylePr w:type="lastRow">
      <w:pPr>
        <w:spacing w:before="0" w:after="0" w:line="240" w:lineRule="auto"/>
      </w:pPr>
      <w:rPr>
        <w:b/>
        <w:bCs/>
      </w:rPr>
      <w:tblPr/>
      <w:tcPr>
        <w:tcBorders>
          <w:top w:val="double" w:sz="6" w:space="0" w:color="095489"/>
          <w:left w:val="single" w:sz="8" w:space="0" w:color="095489"/>
          <w:bottom w:val="single" w:sz="8" w:space="0" w:color="095489"/>
          <w:right w:val="single" w:sz="8" w:space="0" w:color="095489"/>
        </w:tcBorders>
      </w:tcPr>
    </w:tblStylePr>
    <w:tblStylePr w:type="firstCol">
      <w:rPr>
        <w:b/>
        <w:bCs/>
      </w:rPr>
    </w:tblStylePr>
    <w:tblStylePr w:type="lastCol">
      <w:rPr>
        <w:b/>
        <w:bCs/>
      </w:rPr>
    </w:tblStylePr>
    <w:tblStylePr w:type="band1Vert">
      <w:tblPr/>
      <w:tcPr>
        <w:tcBorders>
          <w:top w:val="single" w:sz="8" w:space="0" w:color="095489"/>
          <w:left w:val="single" w:sz="8" w:space="0" w:color="095489"/>
          <w:bottom w:val="single" w:sz="8" w:space="0" w:color="095489"/>
          <w:right w:val="single" w:sz="8" w:space="0" w:color="095489"/>
        </w:tcBorders>
      </w:tcPr>
    </w:tblStylePr>
    <w:tblStylePr w:type="band1Horz">
      <w:tblPr/>
      <w:tcPr>
        <w:tcBorders>
          <w:top w:val="single" w:sz="8" w:space="0" w:color="095489"/>
          <w:left w:val="single" w:sz="8" w:space="0" w:color="095489"/>
          <w:bottom w:val="single" w:sz="8" w:space="0" w:color="095489"/>
          <w:right w:val="single" w:sz="8" w:space="0" w:color="095489"/>
        </w:tcBorders>
      </w:tcPr>
    </w:tblStylePr>
  </w:style>
  <w:style w:type="table" w:styleId="LightShading-Accent1">
    <w:name w:val="Light Shading Accent 1"/>
    <w:basedOn w:val="TableNormal"/>
    <w:uiPriority w:val="60"/>
    <w:rsid w:val="001F68E9"/>
    <w:rPr>
      <w:color w:val="063E66"/>
    </w:rPr>
    <w:tblPr>
      <w:tblStyleRowBandSize w:val="1"/>
      <w:tblStyleColBandSize w:val="1"/>
      <w:tblBorders>
        <w:top w:val="single" w:sz="8" w:space="0" w:color="095489"/>
        <w:bottom w:val="single" w:sz="8" w:space="0" w:color="095489"/>
      </w:tblBorders>
    </w:tblPr>
    <w:tblStylePr w:type="firstRow">
      <w:pPr>
        <w:spacing w:before="0" w:after="0" w:line="240" w:lineRule="auto"/>
      </w:pPr>
      <w:rPr>
        <w:b/>
        <w:bCs/>
      </w:rPr>
      <w:tblPr/>
      <w:tcPr>
        <w:tcBorders>
          <w:top w:val="single" w:sz="8" w:space="0" w:color="095489"/>
          <w:left w:val="nil"/>
          <w:bottom w:val="single" w:sz="8" w:space="0" w:color="095489"/>
          <w:right w:val="nil"/>
          <w:insideH w:val="nil"/>
          <w:insideV w:val="nil"/>
        </w:tcBorders>
      </w:tcPr>
    </w:tblStylePr>
    <w:tblStylePr w:type="lastRow">
      <w:pPr>
        <w:spacing w:before="0" w:after="0" w:line="240" w:lineRule="auto"/>
      </w:pPr>
      <w:rPr>
        <w:b/>
        <w:bCs/>
      </w:rPr>
      <w:tblPr/>
      <w:tcPr>
        <w:tcBorders>
          <w:top w:val="single" w:sz="8" w:space="0" w:color="095489"/>
          <w:left w:val="nil"/>
          <w:bottom w:val="single" w:sz="8" w:space="0" w:color="09548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8F9"/>
      </w:tcPr>
    </w:tblStylePr>
    <w:tblStylePr w:type="band1Horz">
      <w:tblPr/>
      <w:tcPr>
        <w:tcBorders>
          <w:left w:val="nil"/>
          <w:right w:val="nil"/>
          <w:insideH w:val="nil"/>
          <w:insideV w:val="nil"/>
        </w:tcBorders>
        <w:shd w:val="clear" w:color="auto" w:fill="AAD8F9"/>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95489"/>
      </w:tcPr>
    </w:tblStylePr>
    <w:tblStylePr w:type="lastRow">
      <w:pPr>
        <w:spacing w:before="0" w:after="0" w:line="240" w:lineRule="auto"/>
      </w:pPr>
      <w:rPr>
        <w:b/>
        <w:bCs/>
      </w:rPr>
      <w:tblPr/>
      <w:tcPr>
        <w:tcBorders>
          <w:top w:val="double" w:sz="6" w:space="0" w:color="095489"/>
          <w:left w:val="single" w:sz="8" w:space="0" w:color="095489"/>
          <w:bottom w:val="single" w:sz="8" w:space="0" w:color="095489"/>
          <w:right w:val="single" w:sz="8" w:space="0" w:color="095489"/>
        </w:tcBorders>
      </w:tcPr>
    </w:tblStylePr>
    <w:tblStylePr w:type="firstCol">
      <w:rPr>
        <w:b/>
        <w:bCs/>
      </w:rPr>
    </w:tblStylePr>
    <w:tblStylePr w:type="lastCol">
      <w:rPr>
        <w:b/>
        <w:bCs/>
      </w:rPr>
    </w:tblStylePr>
    <w:tblStylePr w:type="band1Vert">
      <w:tblPr/>
      <w:tcPr>
        <w:tcBorders>
          <w:top w:val="single" w:sz="8" w:space="0" w:color="095489"/>
          <w:left w:val="single" w:sz="8" w:space="0" w:color="095489"/>
          <w:bottom w:val="single" w:sz="8" w:space="0" w:color="095489"/>
          <w:right w:val="single" w:sz="8" w:space="0" w:color="095489"/>
        </w:tcBorders>
      </w:tcPr>
    </w:tblStylePr>
    <w:tblStylePr w:type="band1Horz">
      <w:tblPr/>
      <w:tcPr>
        <w:tcBorders>
          <w:top w:val="single" w:sz="8" w:space="0" w:color="095489"/>
          <w:left w:val="single" w:sz="8" w:space="0" w:color="095489"/>
          <w:bottom w:val="single" w:sz="8" w:space="0" w:color="095489"/>
          <w:right w:val="single" w:sz="8" w:space="0" w:color="095489"/>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95489"/>
        <w:left w:val="single" w:sz="8" w:space="0" w:color="095489"/>
        <w:bottom w:val="single" w:sz="8" w:space="0" w:color="095489"/>
        <w:right w:val="single" w:sz="8" w:space="0" w:color="095489"/>
        <w:insideH w:val="single" w:sz="8" w:space="0" w:color="095489"/>
        <w:insideV w:val="single" w:sz="8" w:space="0" w:color="095489"/>
      </w:tblBorders>
    </w:tblPr>
    <w:tblStylePr w:type="firstRow">
      <w:pPr>
        <w:spacing w:before="0" w:after="0" w:line="240" w:lineRule="auto"/>
      </w:pPr>
      <w:rPr>
        <w:rFonts w:ascii="Cambria" w:eastAsia="Times New Roman" w:hAnsi="Cambria" w:cs="Times New Roman"/>
        <w:b/>
        <w:bCs/>
      </w:rPr>
      <w:tblPr/>
      <w:tcPr>
        <w:tcBorders>
          <w:top w:val="single" w:sz="8" w:space="0" w:color="095489"/>
          <w:left w:val="single" w:sz="8" w:space="0" w:color="095489"/>
          <w:bottom w:val="single" w:sz="18" w:space="0" w:color="095489"/>
          <w:right w:val="single" w:sz="8" w:space="0" w:color="095489"/>
          <w:insideH w:val="nil"/>
          <w:insideV w:val="single" w:sz="8" w:space="0" w:color="095489"/>
        </w:tcBorders>
      </w:tcPr>
    </w:tblStylePr>
    <w:tblStylePr w:type="lastRow">
      <w:pPr>
        <w:spacing w:before="0" w:after="0" w:line="240" w:lineRule="auto"/>
      </w:pPr>
      <w:rPr>
        <w:rFonts w:ascii="Cambria" w:eastAsia="Times New Roman" w:hAnsi="Cambria" w:cs="Times New Roman"/>
        <w:b/>
        <w:bCs/>
      </w:rPr>
      <w:tblPr/>
      <w:tcPr>
        <w:tcBorders>
          <w:top w:val="double" w:sz="6" w:space="0" w:color="095489"/>
          <w:left w:val="single" w:sz="8" w:space="0" w:color="095489"/>
          <w:bottom w:val="single" w:sz="8" w:space="0" w:color="095489"/>
          <w:right w:val="single" w:sz="8" w:space="0" w:color="095489"/>
          <w:insideH w:val="nil"/>
          <w:insideV w:val="single" w:sz="8" w:space="0" w:color="09548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95489"/>
          <w:left w:val="single" w:sz="8" w:space="0" w:color="095489"/>
          <w:bottom w:val="single" w:sz="8" w:space="0" w:color="095489"/>
          <w:right w:val="single" w:sz="8" w:space="0" w:color="095489"/>
        </w:tcBorders>
      </w:tcPr>
    </w:tblStylePr>
    <w:tblStylePr w:type="band1Vert">
      <w:tblPr/>
      <w:tcPr>
        <w:tcBorders>
          <w:top w:val="single" w:sz="8" w:space="0" w:color="095489"/>
          <w:left w:val="single" w:sz="8" w:space="0" w:color="095489"/>
          <w:bottom w:val="single" w:sz="8" w:space="0" w:color="095489"/>
          <w:right w:val="single" w:sz="8" w:space="0" w:color="095489"/>
        </w:tcBorders>
        <w:shd w:val="clear" w:color="auto" w:fill="AAD8F9"/>
      </w:tcPr>
    </w:tblStylePr>
    <w:tblStylePr w:type="band1Horz">
      <w:tblPr/>
      <w:tcPr>
        <w:tcBorders>
          <w:top w:val="single" w:sz="8" w:space="0" w:color="095489"/>
          <w:left w:val="single" w:sz="8" w:space="0" w:color="095489"/>
          <w:bottom w:val="single" w:sz="8" w:space="0" w:color="095489"/>
          <w:right w:val="single" w:sz="8" w:space="0" w:color="095489"/>
          <w:insideV w:val="single" w:sz="8" w:space="0" w:color="095489"/>
        </w:tcBorders>
        <w:shd w:val="clear" w:color="auto" w:fill="AAD8F9"/>
      </w:tcPr>
    </w:tblStylePr>
    <w:tblStylePr w:type="band2Horz">
      <w:tblPr/>
      <w:tcPr>
        <w:tcBorders>
          <w:top w:val="single" w:sz="8" w:space="0" w:color="095489"/>
          <w:left w:val="single" w:sz="8" w:space="0" w:color="095489"/>
          <w:bottom w:val="single" w:sz="8" w:space="0" w:color="095489"/>
          <w:right w:val="single" w:sz="8" w:space="0" w:color="095489"/>
          <w:insideV w:val="single" w:sz="8" w:space="0" w:color="095489"/>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w:eastAsia="Times New Roman" w:hAnsi="Cambria" w:cs="Times New Roman"/>
        <w:b/>
        <w:bCs/>
      </w:rPr>
      <w:tblPr/>
      <w:trPr>
        <w:tblHeader/>
      </w:trPr>
      <w:tcPr>
        <w:tcBorders>
          <w:top w:val="single" w:sz="8" w:space="0" w:color="095489"/>
          <w:left w:val="single" w:sz="8" w:space="0" w:color="095489"/>
          <w:bottom w:val="single" w:sz="18" w:space="0" w:color="095489"/>
          <w:right w:val="single" w:sz="8" w:space="0" w:color="095489"/>
          <w:insideH w:val="nil"/>
          <w:insideV w:val="single" w:sz="8" w:space="0" w:color="095489"/>
        </w:tcBorders>
      </w:tcPr>
    </w:tblStylePr>
    <w:tblStylePr w:type="lastRow">
      <w:pPr>
        <w:spacing w:before="0" w:after="0" w:line="240" w:lineRule="auto"/>
      </w:pPr>
      <w:rPr>
        <w:rFonts w:ascii="Cambria" w:eastAsia="Times New Roman" w:hAnsi="Cambria" w:cs="Times New Roman"/>
        <w:b/>
        <w:bCs/>
      </w:rPr>
      <w:tblPr/>
      <w:tcPr>
        <w:tcBorders>
          <w:top w:val="double" w:sz="6" w:space="0" w:color="095489"/>
          <w:left w:val="single" w:sz="8" w:space="0" w:color="095489"/>
          <w:bottom w:val="single" w:sz="8" w:space="0" w:color="095489"/>
          <w:right w:val="single" w:sz="8" w:space="0" w:color="095489"/>
          <w:insideH w:val="nil"/>
          <w:insideV w:val="single" w:sz="8" w:space="0" w:color="09548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95489"/>
          <w:left w:val="single" w:sz="8" w:space="0" w:color="095489"/>
          <w:bottom w:val="single" w:sz="8" w:space="0" w:color="095489"/>
          <w:right w:val="single" w:sz="8" w:space="0" w:color="095489"/>
        </w:tcBorders>
      </w:tcPr>
    </w:tblStylePr>
    <w:tblStylePr w:type="band1Vert">
      <w:tblPr/>
      <w:tcPr>
        <w:tcBorders>
          <w:top w:val="single" w:sz="8" w:space="0" w:color="095489"/>
          <w:left w:val="single" w:sz="8" w:space="0" w:color="095489"/>
          <w:bottom w:val="single" w:sz="8" w:space="0" w:color="095489"/>
          <w:right w:val="single" w:sz="8" w:space="0" w:color="095489"/>
        </w:tcBorders>
        <w:shd w:val="clear" w:color="auto" w:fill="AAD8F9"/>
      </w:tcPr>
    </w:tblStylePr>
    <w:tblStylePr w:type="band1Horz">
      <w:tblPr/>
      <w:tcPr>
        <w:tcBorders>
          <w:top w:val="single" w:sz="8" w:space="0" w:color="095489"/>
          <w:left w:val="single" w:sz="8" w:space="0" w:color="095489"/>
          <w:bottom w:val="single" w:sz="8" w:space="0" w:color="095489"/>
          <w:right w:val="single" w:sz="8" w:space="0" w:color="095489"/>
          <w:insideV w:val="single" w:sz="8" w:space="0" w:color="095489"/>
        </w:tcBorders>
        <w:shd w:val="clear" w:color="auto" w:fill="095489"/>
      </w:tcPr>
    </w:tblStylePr>
    <w:tblStylePr w:type="band2Horz">
      <w:tblPr/>
      <w:tcPr>
        <w:tcBorders>
          <w:top w:val="single" w:sz="8" w:space="0" w:color="095489"/>
          <w:left w:val="single" w:sz="8" w:space="0" w:color="095489"/>
          <w:bottom w:val="single" w:sz="8" w:space="0" w:color="095489"/>
          <w:right w:val="single" w:sz="8" w:space="0" w:color="095489"/>
          <w:insideV w:val="single" w:sz="8" w:space="0" w:color="095489"/>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E88DE"/>
        <w:left w:val="single" w:sz="8" w:space="0" w:color="0E88DE"/>
        <w:bottom w:val="single" w:sz="8" w:space="0" w:color="0E88DE"/>
        <w:right w:val="single" w:sz="8" w:space="0" w:color="0E88DE"/>
        <w:insideH w:val="single" w:sz="8" w:space="0" w:color="0E88DE"/>
      </w:tblBorders>
    </w:tblPr>
    <w:tblStylePr w:type="firstRow">
      <w:pPr>
        <w:spacing w:before="0" w:after="0" w:line="240" w:lineRule="auto"/>
      </w:pPr>
      <w:rPr>
        <w:b/>
        <w:bCs/>
        <w:color w:val="FFFFFF"/>
      </w:rPr>
      <w:tblPr/>
      <w:tcPr>
        <w:tcBorders>
          <w:top w:val="single" w:sz="8" w:space="0" w:color="0E88DE"/>
          <w:left w:val="single" w:sz="8" w:space="0" w:color="0E88DE"/>
          <w:bottom w:val="single" w:sz="8" w:space="0" w:color="0E88DE"/>
          <w:right w:val="single" w:sz="8" w:space="0" w:color="0E88DE"/>
          <w:insideH w:val="nil"/>
          <w:insideV w:val="nil"/>
        </w:tcBorders>
        <w:shd w:val="clear" w:color="auto" w:fill="095489"/>
      </w:tcPr>
    </w:tblStylePr>
    <w:tblStylePr w:type="lastRow">
      <w:pPr>
        <w:spacing w:before="0" w:after="0" w:line="240" w:lineRule="auto"/>
      </w:pPr>
      <w:rPr>
        <w:b/>
        <w:bCs/>
      </w:rPr>
      <w:tblPr/>
      <w:tcPr>
        <w:tcBorders>
          <w:top w:val="double" w:sz="6" w:space="0" w:color="0E88DE"/>
          <w:left w:val="single" w:sz="8" w:space="0" w:color="0E88DE"/>
          <w:bottom w:val="single" w:sz="8" w:space="0" w:color="0E88DE"/>
          <w:right w:val="single" w:sz="8" w:space="0" w:color="0E88DE"/>
          <w:insideH w:val="nil"/>
          <w:insideV w:val="nil"/>
        </w:tcBorders>
      </w:tcPr>
    </w:tblStylePr>
    <w:tblStylePr w:type="firstCol">
      <w:rPr>
        <w:b/>
        <w:bCs/>
      </w:rPr>
    </w:tblStylePr>
    <w:tblStylePr w:type="lastCol">
      <w:rPr>
        <w:b/>
        <w:bCs/>
      </w:rPr>
    </w:tblStylePr>
    <w:tblStylePr w:type="band1Vert">
      <w:tblPr/>
      <w:tcPr>
        <w:shd w:val="clear" w:color="auto" w:fill="AAD8F9"/>
      </w:tcPr>
    </w:tblStylePr>
    <w:tblStylePr w:type="band1Horz">
      <w:tblPr/>
      <w:tcPr>
        <w:tcBorders>
          <w:insideH w:val="nil"/>
          <w:insideV w:val="nil"/>
        </w:tcBorders>
        <w:shd w:val="clear" w:color="auto" w:fill="AAD8F9"/>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E88DE"/>
          <w:left w:val="single" w:sz="8" w:space="0" w:color="0E88DE"/>
          <w:bottom w:val="single" w:sz="8" w:space="0" w:color="0E88DE"/>
          <w:right w:val="single" w:sz="8" w:space="0" w:color="0E88DE"/>
          <w:insideH w:val="nil"/>
          <w:insideV w:val="nil"/>
        </w:tcBorders>
        <w:shd w:val="clear" w:color="auto" w:fill="095489"/>
      </w:tcPr>
    </w:tblStylePr>
    <w:tblStylePr w:type="lastRow">
      <w:pPr>
        <w:spacing w:before="0" w:after="0" w:line="240" w:lineRule="auto"/>
      </w:pPr>
      <w:rPr>
        <w:b/>
        <w:bCs/>
      </w:rPr>
      <w:tblPr/>
      <w:tcPr>
        <w:tcBorders>
          <w:top w:val="double" w:sz="6" w:space="0" w:color="0E88DE"/>
          <w:left w:val="single" w:sz="8" w:space="0" w:color="0E88DE"/>
          <w:bottom w:val="single" w:sz="8" w:space="0" w:color="0E88DE"/>
          <w:right w:val="single" w:sz="8" w:space="0" w:color="0E88DE"/>
          <w:insideH w:val="nil"/>
          <w:insideV w:val="nil"/>
        </w:tcBorders>
      </w:tcPr>
    </w:tblStylePr>
    <w:tblStylePr w:type="firstCol">
      <w:rPr>
        <w:b/>
        <w:bCs/>
      </w:rPr>
    </w:tblStylePr>
    <w:tblStylePr w:type="lastCol">
      <w:rPr>
        <w:b/>
        <w:bCs/>
      </w:rPr>
    </w:tblStylePr>
    <w:tblStylePr w:type="band1Vert">
      <w:tblPr/>
      <w:tcPr>
        <w:shd w:val="clear" w:color="auto" w:fill="AAD8F9"/>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095489"/>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95489"/>
        <w:bottom w:val="single" w:sz="8" w:space="0" w:color="095489"/>
      </w:tblBorders>
    </w:tblPr>
    <w:tblStylePr w:type="firstRow">
      <w:rPr>
        <w:rFonts w:ascii="Cambria" w:eastAsia="Times New Roman" w:hAnsi="Cambria" w:cs="Times New Roman"/>
      </w:rPr>
      <w:tblPr/>
      <w:tcPr>
        <w:tcBorders>
          <w:top w:val="nil"/>
          <w:bottom w:val="single" w:sz="8" w:space="0" w:color="095489"/>
        </w:tcBorders>
      </w:tcPr>
    </w:tblStylePr>
    <w:tblStylePr w:type="lastRow">
      <w:rPr>
        <w:b/>
        <w:bCs/>
        <w:color w:val="757477"/>
      </w:rPr>
      <w:tblPr/>
      <w:tcPr>
        <w:tcBorders>
          <w:top w:val="single" w:sz="8" w:space="0" w:color="095489"/>
          <w:bottom w:val="single" w:sz="8" w:space="0" w:color="095489"/>
        </w:tcBorders>
      </w:tcPr>
    </w:tblStylePr>
    <w:tblStylePr w:type="firstCol">
      <w:rPr>
        <w:b/>
        <w:bCs/>
      </w:rPr>
    </w:tblStylePr>
    <w:tblStylePr w:type="lastCol">
      <w:rPr>
        <w:b/>
        <w:bCs/>
      </w:rPr>
      <w:tblPr/>
      <w:tcPr>
        <w:tcBorders>
          <w:top w:val="single" w:sz="8" w:space="0" w:color="095489"/>
          <w:bottom w:val="single" w:sz="8" w:space="0" w:color="095489"/>
        </w:tcBorders>
      </w:tcPr>
    </w:tblStylePr>
    <w:tblStylePr w:type="band1Vert">
      <w:tblPr/>
      <w:tcPr>
        <w:shd w:val="clear" w:color="auto" w:fill="AAD8F9"/>
      </w:tcPr>
    </w:tblStylePr>
    <w:tblStylePr w:type="band1Horz">
      <w:tblPr/>
      <w:tcPr>
        <w:shd w:val="clear" w:color="auto" w:fill="AAD8F9"/>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w:eastAsia="Times New Roman" w:hAnsi="Cambria" w:cs="Times New Roman"/>
      </w:rPr>
      <w:tblPr/>
      <w:trPr>
        <w:tblHeader/>
      </w:trPr>
      <w:tcPr>
        <w:tcBorders>
          <w:top w:val="nil"/>
          <w:bottom w:val="single" w:sz="8" w:space="0" w:color="095489"/>
        </w:tcBorders>
      </w:tcPr>
    </w:tblStylePr>
    <w:tblStylePr w:type="lastRow">
      <w:rPr>
        <w:b/>
        <w:bCs/>
        <w:color w:val="757477"/>
      </w:rPr>
      <w:tblPr/>
      <w:tcPr>
        <w:tcBorders>
          <w:top w:val="single" w:sz="8" w:space="0" w:color="095489"/>
          <w:bottom w:val="single" w:sz="8" w:space="0" w:color="095489"/>
        </w:tcBorders>
      </w:tcPr>
    </w:tblStylePr>
    <w:tblStylePr w:type="firstCol">
      <w:rPr>
        <w:b/>
        <w:bCs/>
      </w:rPr>
    </w:tblStylePr>
    <w:tblStylePr w:type="lastCol">
      <w:rPr>
        <w:b/>
        <w:bCs/>
      </w:rPr>
      <w:tblPr/>
      <w:tcPr>
        <w:tcBorders>
          <w:top w:val="single" w:sz="8" w:space="0" w:color="095489"/>
          <w:bottom w:val="single" w:sz="8" w:space="0" w:color="095489"/>
        </w:tcBorders>
      </w:tcPr>
    </w:tblStylePr>
    <w:tblStylePr w:type="band1Vert">
      <w:tblPr/>
      <w:tcPr>
        <w:shd w:val="clear" w:color="auto" w:fill="AAD8F9"/>
      </w:tcPr>
    </w:tblStylePr>
    <w:tblStylePr w:type="band1Horz">
      <w:tblPr/>
      <w:tcPr>
        <w:shd w:val="clear" w:color="auto" w:fill="095489"/>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095489"/>
          <w:right w:val="nil"/>
          <w:insideH w:val="nil"/>
          <w:insideV w:val="nil"/>
        </w:tcBorders>
        <w:shd w:val="clear" w:color="auto" w:fill="FFFFFF"/>
      </w:tcPr>
    </w:tblStylePr>
    <w:tblStylePr w:type="lastRow">
      <w:tblPr/>
      <w:tcPr>
        <w:tcBorders>
          <w:top w:val="single" w:sz="8" w:space="0" w:color="095489"/>
          <w:left w:val="nil"/>
          <w:bottom w:val="nil"/>
          <w:right w:val="nil"/>
          <w:insideH w:val="nil"/>
          <w:insideV w:val="nil"/>
        </w:tcBorders>
        <w:shd w:val="clear" w:color="auto" w:fill="FFFFFF"/>
      </w:tcPr>
    </w:tblStylePr>
    <w:tblStylePr w:type="firstCol">
      <w:tblPr/>
      <w:tcPr>
        <w:tcBorders>
          <w:top w:val="nil"/>
          <w:left w:val="nil"/>
          <w:bottom w:val="nil"/>
          <w:right w:val="single" w:sz="8" w:space="0" w:color="095489"/>
          <w:insideH w:val="nil"/>
          <w:insideV w:val="nil"/>
        </w:tcBorders>
        <w:shd w:val="clear" w:color="auto" w:fill="FFFFFF"/>
      </w:tcPr>
    </w:tblStylePr>
    <w:tblStylePr w:type="lastCol">
      <w:tblPr/>
      <w:tcPr>
        <w:tcBorders>
          <w:top w:val="nil"/>
          <w:left w:val="single" w:sz="8" w:space="0" w:color="09548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AD8F9"/>
      </w:tcPr>
    </w:tblStylePr>
    <w:tblStylePr w:type="band1Horz">
      <w:tblPr/>
      <w:tcPr>
        <w:tcBorders>
          <w:top w:val="nil"/>
          <w:bottom w:val="nil"/>
          <w:insideH w:val="nil"/>
          <w:insideV w:val="nil"/>
        </w:tcBorders>
        <w:shd w:val="clear" w:color="auto" w:fill="095489"/>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95489"/>
        <w:left w:val="single" w:sz="8" w:space="0" w:color="095489"/>
        <w:bottom w:val="single" w:sz="8" w:space="0" w:color="095489"/>
        <w:right w:val="single" w:sz="8" w:space="0" w:color="095489"/>
      </w:tblBorders>
    </w:tblPr>
    <w:tblStylePr w:type="firstRow">
      <w:rPr>
        <w:sz w:val="24"/>
        <w:szCs w:val="24"/>
      </w:rPr>
      <w:tblPr/>
      <w:tcPr>
        <w:tcBorders>
          <w:top w:val="nil"/>
          <w:left w:val="nil"/>
          <w:bottom w:val="single" w:sz="24" w:space="0" w:color="095489"/>
          <w:right w:val="nil"/>
          <w:insideH w:val="nil"/>
          <w:insideV w:val="nil"/>
        </w:tcBorders>
        <w:shd w:val="clear" w:color="auto" w:fill="FFFFFF"/>
      </w:tcPr>
    </w:tblStylePr>
    <w:tblStylePr w:type="lastRow">
      <w:tblPr/>
      <w:tcPr>
        <w:tcBorders>
          <w:top w:val="single" w:sz="8" w:space="0" w:color="095489"/>
          <w:left w:val="nil"/>
          <w:bottom w:val="nil"/>
          <w:right w:val="nil"/>
          <w:insideH w:val="nil"/>
          <w:insideV w:val="nil"/>
        </w:tcBorders>
        <w:shd w:val="clear" w:color="auto" w:fill="FFFFFF"/>
      </w:tcPr>
    </w:tblStylePr>
    <w:tblStylePr w:type="firstCol">
      <w:tblPr/>
      <w:tcPr>
        <w:tcBorders>
          <w:top w:val="nil"/>
          <w:left w:val="nil"/>
          <w:bottom w:val="nil"/>
          <w:right w:val="single" w:sz="8" w:space="0" w:color="095489"/>
          <w:insideH w:val="nil"/>
          <w:insideV w:val="nil"/>
        </w:tcBorders>
        <w:shd w:val="clear" w:color="auto" w:fill="FFFFFF"/>
      </w:tcPr>
    </w:tblStylePr>
    <w:tblStylePr w:type="lastCol">
      <w:tblPr/>
      <w:tcPr>
        <w:tcBorders>
          <w:top w:val="nil"/>
          <w:left w:val="single" w:sz="8" w:space="0" w:color="09548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AD8F9"/>
      </w:tcPr>
    </w:tblStylePr>
    <w:tblStylePr w:type="band1Horz">
      <w:tblPr/>
      <w:tcPr>
        <w:tcBorders>
          <w:top w:val="nil"/>
          <w:bottom w:val="nil"/>
          <w:insideH w:val="nil"/>
          <w:insideV w:val="nil"/>
        </w:tcBorders>
        <w:shd w:val="clear" w:color="auto" w:fill="AAD8F9"/>
      </w:tcPr>
    </w:tblStylePr>
    <w:tblStylePr w:type="nwCell">
      <w:tblPr/>
      <w:tcPr>
        <w:shd w:val="clear" w:color="auto" w:fill="FFFFFF"/>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link w:val="Header"/>
    <w:uiPriority w:val="99"/>
    <w:semiHidden/>
    <w:rsid w:val="0013662A"/>
    <w:rPr>
      <w:rFonts w:ascii="Arial" w:hAnsi="Arial"/>
      <w:sz w:val="24"/>
    </w:rPr>
  </w:style>
  <w:style w:type="paragraph" w:styleId="Footer">
    <w:name w:val="footer"/>
    <w:basedOn w:val="Normal"/>
    <w:link w:val="FooterChar"/>
    <w:uiPriority w:val="99"/>
    <w:rsid w:val="0013662A"/>
    <w:pPr>
      <w:tabs>
        <w:tab w:val="center" w:pos="4513"/>
        <w:tab w:val="right" w:pos="9026"/>
      </w:tabs>
      <w:spacing w:after="0"/>
    </w:pPr>
  </w:style>
  <w:style w:type="character" w:customStyle="1" w:styleId="FooterChar">
    <w:name w:val="Footer Char"/>
    <w:link w:val="Footer"/>
    <w:uiPriority w:val="99"/>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PlaceholderText">
    <w:name w:val="Placeholder Text"/>
    <w:uiPriority w:val="99"/>
    <w:semiHidden/>
    <w:rsid w:val="00882643"/>
    <w:rPr>
      <w:color w:val="808080"/>
    </w:rPr>
  </w:style>
  <w:style w:type="table" w:customStyle="1" w:styleId="TableGrid1">
    <w:name w:val="Table Grid1"/>
    <w:basedOn w:val="TableNormal"/>
    <w:next w:val="TableGrid"/>
    <w:uiPriority w:val="59"/>
    <w:rsid w:val="00B6303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83365">
      <w:bodyDiv w:val="1"/>
      <w:marLeft w:val="0"/>
      <w:marRight w:val="0"/>
      <w:marTop w:val="0"/>
      <w:marBottom w:val="0"/>
      <w:divBdr>
        <w:top w:val="none" w:sz="0" w:space="0" w:color="auto"/>
        <w:left w:val="none" w:sz="0" w:space="0" w:color="auto"/>
        <w:bottom w:val="none" w:sz="0" w:space="0" w:color="auto"/>
        <w:right w:val="none" w:sz="0" w:space="0" w:color="auto"/>
      </w:divBdr>
    </w:div>
    <w:div w:id="1053039055">
      <w:bodyDiv w:val="1"/>
      <w:marLeft w:val="0"/>
      <w:marRight w:val="0"/>
      <w:marTop w:val="0"/>
      <w:marBottom w:val="0"/>
      <w:divBdr>
        <w:top w:val="none" w:sz="0" w:space="0" w:color="auto"/>
        <w:left w:val="none" w:sz="0" w:space="0" w:color="auto"/>
        <w:bottom w:val="none" w:sz="0" w:space="0" w:color="auto"/>
        <w:right w:val="none" w:sz="0" w:space="0" w:color="auto"/>
      </w:divBdr>
    </w:div>
    <w:div w:id="10680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v.intranet.health.wa.gov.au/nursing/docs/planning/NHPPD_an_overview.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ursing.health.wa.gov.au/planning/workload_man.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2.health.wa.gov.au/~/media/Files/Corporate/general%20documents/Awards%20and%20agreements/Nurses%20Registered%20and%20Enrolled%20Mental%20Health/WAHealthAustralianNursingFederationRegisteredNursesMidwivesEnrolledMentalHealthEnrolledNursesIndustrialAgreement2016.ashx" TargetMode="External"/><Relationship Id="rId14" Type="http://schemas.openxmlformats.org/officeDocument/2006/relationships/hyperlink" Target="http://www.nursing.health.wa.gov.au/planning/index.cf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72200\Downloads\flyer_corporate_template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38BD-3B80-4B22-AA2C-056066A1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flyer_corporate_template_blue.dot</Template>
  <TotalTime>0</TotalTime>
  <Pages>4</Pages>
  <Words>1063</Words>
  <Characters>5624</Characters>
  <Application>Microsoft Office Word</Application>
  <DocSecurity>0</DocSecurity>
  <Lines>254</Lines>
  <Paragraphs>175</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6537</CharactersWithSpaces>
  <SharedDoc>false</SharedDoc>
  <HLinks>
    <vt:vector size="12" baseType="variant">
      <vt:variant>
        <vt:i4>2293881</vt:i4>
      </vt:variant>
      <vt:variant>
        <vt:i4>0</vt:i4>
      </vt:variant>
      <vt:variant>
        <vt:i4>0</vt:i4>
      </vt:variant>
      <vt:variant>
        <vt:i4>5</vt:i4>
      </vt:variant>
      <vt:variant>
        <vt:lpwstr>http://www.healthywa.wa.gov.au/</vt:lpwstr>
      </vt:variant>
      <vt:variant>
        <vt:lpwstr/>
      </vt:variant>
      <vt:variant>
        <vt:i4>2293881</vt:i4>
      </vt:variant>
      <vt:variant>
        <vt:i4>6165</vt:i4>
      </vt:variant>
      <vt:variant>
        <vt:i4>1026</vt:i4>
      </vt:variant>
      <vt:variant>
        <vt:i4>4</vt:i4>
      </vt:variant>
      <vt:variant>
        <vt:lpwstr>http://www.healthywa.wa.gov.au/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Newton, Rebecca</dc:creator>
  <cp:keywords>flyer, template, doh</cp:keywords>
  <dc:description>Department of Health's flyer templates for consumers</dc:description>
  <cp:lastModifiedBy>Newton, Rebecca</cp:lastModifiedBy>
  <cp:revision>2</cp:revision>
  <cp:lastPrinted>2016-03-31T05:06:00Z</cp:lastPrinted>
  <dcterms:created xsi:type="dcterms:W3CDTF">2017-05-16T08:24:00Z</dcterms:created>
  <dcterms:modified xsi:type="dcterms:W3CDTF">2017-05-16T08:24:00Z</dcterms:modified>
</cp:coreProperties>
</file>